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heme="minorHAnsi" w:hAnsiTheme="minorHAnsi" w:eastAsiaTheme="majorEastAsia" w:cstheme="minorHAnsi"/>
          <w:b/>
          <w:color w:val="000000" w:themeColor="text1"/>
          <w:kern w:val="0"/>
          <w:sz w:val="32"/>
          <w:szCs w:val="32"/>
          <w:highlight w:val="none"/>
          <w14:textFill>
            <w14:solidFill>
              <w14:schemeClr w14:val="tx1"/>
            </w14:solidFill>
          </w14:textFill>
        </w:rPr>
      </w:pPr>
      <w:r>
        <w:rPr>
          <w:rFonts w:asciiTheme="minorHAnsi" w:hAnsiTheme="minorHAnsi" w:eastAsiaTheme="majorEastAsia" w:cstheme="minorHAnsi"/>
          <w:b/>
          <w:color w:val="000000" w:themeColor="text1"/>
          <w:kern w:val="0"/>
          <w:sz w:val="32"/>
          <w:szCs w:val="32"/>
          <w:highlight w:val="none"/>
          <w14:textFill>
            <w14:solidFill>
              <w14:schemeClr w14:val="tx1"/>
            </w14:solidFill>
          </w14:textFill>
        </w:rPr>
        <w:t>美国加州大学河滨分校</w:t>
      </w:r>
      <w:r>
        <w:rPr>
          <w:rFonts w:hint="eastAsia" w:asciiTheme="minorHAnsi" w:hAnsiTheme="minorHAnsi" w:eastAsiaTheme="majorEastAsia" w:cstheme="minorHAnsi"/>
          <w:b/>
          <w:color w:val="000000" w:themeColor="text1"/>
          <w:kern w:val="0"/>
          <w:sz w:val="32"/>
          <w:szCs w:val="32"/>
          <w:highlight w:val="none"/>
          <w14:textFill>
            <w14:solidFill>
              <w14:schemeClr w14:val="tx1"/>
            </w14:solidFill>
          </w14:textFill>
        </w:rPr>
        <w:t xml:space="preserve"> 教育学院</w:t>
      </w:r>
    </w:p>
    <w:p>
      <w:pPr>
        <w:widowControl/>
        <w:spacing w:line="360" w:lineRule="auto"/>
        <w:jc w:val="center"/>
        <w:rPr>
          <w:rFonts w:asciiTheme="minorHAnsi" w:hAnsiTheme="minorHAnsi" w:eastAsiaTheme="majorEastAsia" w:cstheme="minorHAnsi"/>
          <w:b/>
          <w:color w:val="000000" w:themeColor="text1"/>
          <w:kern w:val="0"/>
          <w:sz w:val="30"/>
          <w:szCs w:val="30"/>
          <w:highlight w:val="none"/>
          <w14:textFill>
            <w14:solidFill>
              <w14:schemeClr w14:val="tx1"/>
            </w14:solidFill>
          </w14:textFill>
        </w:rPr>
      </w:pPr>
      <w:r>
        <w:rPr>
          <w:rFonts w:hint="eastAsia" w:asciiTheme="minorHAnsi" w:hAnsiTheme="minorHAnsi" w:eastAsiaTheme="majorEastAsia" w:cstheme="minorHAnsi"/>
          <w:b/>
          <w:color w:val="000000" w:themeColor="text1"/>
          <w:kern w:val="0"/>
          <w:sz w:val="30"/>
          <w:szCs w:val="30"/>
          <w:highlight w:val="none"/>
          <w:u w:val="single"/>
          <w14:textFill>
            <w14:solidFill>
              <w14:schemeClr w14:val="tx1"/>
            </w14:solidFill>
          </w14:textFill>
        </w:rPr>
        <w:t>TESOL证书+（教育学硕士）</w:t>
      </w:r>
      <w:r>
        <w:rPr>
          <w:rFonts w:hint="eastAsia" w:asciiTheme="minorHAnsi" w:hAnsiTheme="minorHAnsi" w:eastAsiaTheme="majorEastAsia" w:cstheme="minorHAnsi"/>
          <w:b/>
          <w:color w:val="000000" w:themeColor="text1"/>
          <w:kern w:val="0"/>
          <w:sz w:val="30"/>
          <w:szCs w:val="30"/>
          <w:highlight w:val="none"/>
          <w14:textFill>
            <w14:solidFill>
              <w14:schemeClr w14:val="tx1"/>
            </w14:solidFill>
          </w14:textFill>
        </w:rPr>
        <w:t>项目</w:t>
      </w:r>
    </w:p>
    <w:p>
      <w:pPr>
        <w:widowControl/>
        <w:spacing w:line="360" w:lineRule="auto"/>
        <w:jc w:val="left"/>
        <w:rPr>
          <w:rFonts w:asciiTheme="minorHAnsi" w:hAnsiTheme="minorHAnsi" w:eastAsiaTheme="majorEastAsia" w:cstheme="minorHAnsi"/>
          <w:color w:val="000000" w:themeColor="text1"/>
          <w:szCs w:val="21"/>
          <w:highlight w:val="none"/>
          <w14:textFill>
            <w14:solidFill>
              <w14:schemeClr w14:val="tx1"/>
            </w14:solidFill>
          </w14:textFill>
        </w:rPr>
      </w:pPr>
    </w:p>
    <w:p>
      <w:pPr>
        <w:widowControl/>
        <w:numPr>
          <w:ilvl w:val="0"/>
          <w:numId w:val="1"/>
        </w:numPr>
        <w:spacing w:line="360" w:lineRule="auto"/>
        <w:jc w:val="left"/>
        <w:rPr>
          <w:rFonts w:asciiTheme="minorHAnsi" w:hAnsiTheme="minorHAnsi" w:eastAsiaTheme="majorEastAsia" w:cstheme="minorHAnsi"/>
          <w:b/>
          <w:bCs/>
          <w:color w:val="000000" w:themeColor="text1"/>
          <w:kern w:val="0"/>
          <w:szCs w:val="21"/>
          <w:highlight w:val="none"/>
          <w14:textFill>
            <w14:solidFill>
              <w14:schemeClr w14:val="tx1"/>
            </w14:solidFill>
          </w14:textFill>
        </w:rPr>
      </w:pPr>
      <w:r>
        <w:rPr>
          <w:rFonts w:asciiTheme="minorHAnsi" w:hAnsiTheme="minorHAnsi" w:eastAsiaTheme="majorEastAsia" w:cstheme="minorHAnsi"/>
          <w:b/>
          <w:bCs/>
          <w:color w:val="000000" w:themeColor="text1"/>
          <w:kern w:val="0"/>
          <w:szCs w:val="21"/>
          <w:highlight w:val="none"/>
          <w14:textFill>
            <w14:solidFill>
              <w14:schemeClr w14:val="tx1"/>
            </w14:solidFill>
          </w14:textFill>
        </w:rPr>
        <w:t>项目介绍</w:t>
      </w:r>
    </w:p>
    <w:p>
      <w:pPr>
        <w:widowControl/>
        <w:spacing w:line="360" w:lineRule="auto"/>
        <w:ind w:left="510"/>
        <w:jc w:val="left"/>
        <w:rPr>
          <w:rFonts w:asciiTheme="minorHAnsi" w:hAnsiTheme="minorHAnsi" w:eastAsiaTheme="majorEastAsia" w:cstheme="minorHAnsi"/>
          <w:b/>
          <w:bCs/>
          <w:color w:val="000000" w:themeColor="text1"/>
          <w:kern w:val="0"/>
          <w:szCs w:val="21"/>
          <w:highlight w:val="none"/>
          <w14:textFill>
            <w14:solidFill>
              <w14:schemeClr w14:val="tx1"/>
            </w14:solidFill>
          </w14:textFill>
        </w:rPr>
      </w:pPr>
    </w:p>
    <w:p>
      <w:pPr>
        <w:widowControl/>
        <w:spacing w:line="360" w:lineRule="auto"/>
        <w:jc w:val="left"/>
        <w:rPr>
          <w:rFonts w:asciiTheme="minorHAnsi" w:hAnsiTheme="minorHAnsi" w:eastAsiaTheme="majorEastAsia" w:cstheme="minorHAnsi"/>
          <w:color w:val="000000" w:themeColor="text1"/>
          <w:szCs w:val="21"/>
          <w:highlight w:val="none"/>
          <w14:textFill>
            <w14:solidFill>
              <w14:schemeClr w14:val="tx1"/>
            </w14:solidFill>
          </w14:textFill>
        </w:rPr>
      </w:pPr>
      <w:r>
        <w:rPr>
          <w:rFonts w:asciiTheme="minorHAnsi" w:hAnsiTheme="minorHAnsi" w:eastAsiaTheme="majorEastAsia" w:cstheme="minorHAnsi"/>
          <w:b/>
          <w:bCs/>
          <w:color w:val="000000" w:themeColor="text1"/>
          <w:kern w:val="0"/>
          <w:szCs w:val="21"/>
          <w:highlight w:val="none"/>
          <w14:textFill>
            <w14:solidFill>
              <w14:schemeClr w14:val="tx1"/>
            </w14:solidFill>
          </w14:textFill>
        </w:rPr>
        <w:t>1、</w:t>
      </w:r>
      <w:r>
        <w:rPr>
          <w:rFonts w:hint="eastAsia" w:asciiTheme="minorHAnsi" w:hAnsiTheme="minorHAnsi" w:eastAsiaTheme="majorEastAsia" w:cstheme="minorHAnsi"/>
          <w:b/>
          <w:bCs/>
          <w:color w:val="000000" w:themeColor="text1"/>
          <w:kern w:val="0"/>
          <w:szCs w:val="21"/>
          <w:highlight w:val="none"/>
          <w14:textFill>
            <w14:solidFill>
              <w14:schemeClr w14:val="tx1"/>
            </w14:solidFill>
          </w14:textFill>
        </w:rPr>
        <w:t xml:space="preserve"> 加州大学河滨分校简介</w:t>
      </w:r>
    </w:p>
    <w:p>
      <w:pPr>
        <w:widowControl/>
        <w:spacing w:line="360" w:lineRule="auto"/>
        <w:ind w:left="1" w:firstLine="419"/>
        <w:jc w:val="left"/>
        <w:rPr>
          <w:rFonts w:asciiTheme="minorHAnsi" w:hAnsiTheme="minorHAnsi" w:cstheme="minorHAnsi"/>
          <w:color w:val="000000" w:themeColor="text1"/>
          <w:kern w:val="0"/>
          <w:szCs w:val="21"/>
          <w:highlight w:val="none"/>
          <w14:textFill>
            <w14:solidFill>
              <w14:schemeClr w14:val="tx1"/>
            </w14:solidFill>
          </w14:textFill>
        </w:rPr>
      </w:pPr>
      <w:r>
        <w:rPr>
          <w:rFonts w:asciiTheme="minorHAnsi" w:hAnsiTheme="minorHAnsi" w:cstheme="minorHAnsi"/>
          <w:color w:val="000000" w:themeColor="text1"/>
          <w:kern w:val="0"/>
          <w:szCs w:val="21"/>
          <w:highlight w:val="none"/>
          <w14:textFill>
            <w14:solidFill>
              <w14:schemeClr w14:val="tx1"/>
            </w14:solidFill>
          </w14:textFill>
        </w:rPr>
        <w:t>加州大学河滨分校是一所美国著名的公立研究型大学，是加州大学系统中十大分校之一。加州大学河滨分校位于加利福尼亚州河滨市，距离洛杉矶一小时车程。加州大学河滨分校除了以其高质量的教育水平和</w:t>
      </w:r>
      <w:r>
        <w:rPr>
          <w:rFonts w:hint="eastAsia" w:asciiTheme="minorHAnsi" w:hAnsiTheme="minorHAnsi" w:cstheme="minorHAnsi"/>
          <w:color w:val="000000" w:themeColor="text1"/>
          <w:kern w:val="0"/>
          <w:szCs w:val="21"/>
          <w:highlight w:val="none"/>
          <w14:textFill>
            <w14:solidFill>
              <w14:schemeClr w14:val="tx1"/>
            </w14:solidFill>
          </w14:textFill>
        </w:rPr>
        <w:t>“</w:t>
      </w:r>
      <w:r>
        <w:rPr>
          <w:rFonts w:asciiTheme="minorHAnsi" w:hAnsiTheme="minorHAnsi" w:cstheme="minorHAnsi"/>
          <w:color w:val="000000" w:themeColor="text1"/>
          <w:kern w:val="0"/>
          <w:szCs w:val="21"/>
          <w:highlight w:val="none"/>
          <w14:textFill>
            <w14:solidFill>
              <w14:schemeClr w14:val="tx1"/>
            </w14:solidFill>
          </w14:textFill>
        </w:rPr>
        <w:t>全美最美校园</w:t>
      </w:r>
      <w:r>
        <w:rPr>
          <w:rFonts w:hint="eastAsia" w:asciiTheme="minorHAnsi" w:hAnsiTheme="minorHAnsi" w:cstheme="minorHAnsi"/>
          <w:color w:val="000000" w:themeColor="text1"/>
          <w:kern w:val="0"/>
          <w:szCs w:val="21"/>
          <w:highlight w:val="none"/>
          <w14:textFill>
            <w14:solidFill>
              <w14:schemeClr w14:val="tx1"/>
            </w14:solidFill>
          </w14:textFill>
        </w:rPr>
        <w:t>”</w:t>
      </w:r>
      <w:r>
        <w:rPr>
          <w:rFonts w:asciiTheme="minorHAnsi" w:hAnsiTheme="minorHAnsi" w:cstheme="minorHAnsi"/>
          <w:color w:val="000000" w:themeColor="text1"/>
          <w:kern w:val="0"/>
          <w:szCs w:val="21"/>
          <w:highlight w:val="none"/>
          <w14:textFill>
            <w14:solidFill>
              <w14:schemeClr w14:val="tx1"/>
            </w14:solidFill>
          </w14:textFill>
        </w:rPr>
        <w:t>闻名于世，更以学生多样化、教学理念多样化、课程多样化为特点，位列《美国新闻与世界报道》</w:t>
      </w:r>
      <w:r>
        <w:rPr>
          <w:rFonts w:hint="eastAsia" w:asciiTheme="minorHAnsi" w:hAnsiTheme="minorHAnsi" w:cstheme="minorHAnsi"/>
          <w:color w:val="000000" w:themeColor="text1"/>
          <w:kern w:val="0"/>
          <w:szCs w:val="21"/>
          <w:highlight w:val="none"/>
          <w14:textFill>
            <w14:solidFill>
              <w14:schemeClr w14:val="tx1"/>
            </w14:solidFill>
          </w14:textFill>
        </w:rPr>
        <w:t>“</w:t>
      </w:r>
      <w:r>
        <w:rPr>
          <w:rFonts w:asciiTheme="minorHAnsi" w:hAnsiTheme="minorHAnsi" w:cstheme="minorHAnsi"/>
          <w:color w:val="000000" w:themeColor="text1"/>
          <w:kern w:val="0"/>
          <w:szCs w:val="21"/>
          <w:highlight w:val="none"/>
          <w14:textFill>
            <w14:solidFill>
              <w14:schemeClr w14:val="tx1"/>
            </w14:solidFill>
          </w14:textFill>
        </w:rPr>
        <w:t>全美教育多样化</w:t>
      </w:r>
      <w:r>
        <w:rPr>
          <w:rFonts w:hint="eastAsia" w:asciiTheme="minorHAnsi" w:hAnsiTheme="minorHAnsi" w:cstheme="minorHAnsi"/>
          <w:color w:val="000000" w:themeColor="text1"/>
          <w:kern w:val="0"/>
          <w:szCs w:val="21"/>
          <w:highlight w:val="none"/>
          <w14:textFill>
            <w14:solidFill>
              <w14:schemeClr w14:val="tx1"/>
            </w14:solidFill>
          </w14:textFill>
        </w:rPr>
        <w:t>”</w:t>
      </w:r>
      <w:r>
        <w:rPr>
          <w:rFonts w:asciiTheme="minorHAnsi" w:hAnsiTheme="minorHAnsi" w:cstheme="minorHAnsi"/>
          <w:color w:val="000000" w:themeColor="text1"/>
          <w:kern w:val="0"/>
          <w:szCs w:val="21"/>
          <w:highlight w:val="none"/>
          <w14:textFill>
            <w14:solidFill>
              <w14:schemeClr w14:val="tx1"/>
            </w14:solidFill>
          </w14:textFill>
        </w:rPr>
        <w:t>排名第五。2014年4月，美国《时代》杂志评选加州大学河滨分校为美国</w:t>
      </w:r>
      <w:r>
        <w:rPr>
          <w:rFonts w:hint="eastAsia" w:asciiTheme="minorHAnsi" w:hAnsiTheme="minorHAnsi" w:cstheme="minorHAnsi"/>
          <w:color w:val="000000" w:themeColor="text1"/>
          <w:kern w:val="0"/>
          <w:szCs w:val="21"/>
          <w:highlight w:val="none"/>
          <w14:textFill>
            <w14:solidFill>
              <w14:schemeClr w14:val="tx1"/>
            </w14:solidFill>
          </w14:textFill>
        </w:rPr>
        <w:t>“</w:t>
      </w:r>
      <w:r>
        <w:rPr>
          <w:rFonts w:asciiTheme="minorHAnsi" w:hAnsiTheme="minorHAnsi" w:cstheme="minorHAnsi"/>
          <w:color w:val="000000" w:themeColor="text1"/>
          <w:kern w:val="0"/>
          <w:szCs w:val="21"/>
          <w:highlight w:val="none"/>
          <w14:textFill>
            <w14:solidFill>
              <w14:schemeClr w14:val="tx1"/>
            </w14:solidFill>
          </w14:textFill>
        </w:rPr>
        <w:t>性价比最高</w:t>
      </w:r>
      <w:r>
        <w:rPr>
          <w:rFonts w:hint="eastAsia" w:asciiTheme="minorHAnsi" w:hAnsiTheme="minorHAnsi" w:cstheme="minorHAnsi"/>
          <w:color w:val="000000" w:themeColor="text1"/>
          <w:kern w:val="0"/>
          <w:szCs w:val="21"/>
          <w:highlight w:val="none"/>
          <w14:textFill>
            <w14:solidFill>
              <w14:schemeClr w14:val="tx1"/>
            </w14:solidFill>
          </w14:textFill>
        </w:rPr>
        <w:t>”</w:t>
      </w:r>
      <w:r>
        <w:rPr>
          <w:rFonts w:asciiTheme="minorHAnsi" w:hAnsiTheme="minorHAnsi" w:cstheme="minorHAnsi"/>
          <w:color w:val="000000" w:themeColor="text1"/>
          <w:kern w:val="0"/>
          <w:szCs w:val="21"/>
          <w:highlight w:val="none"/>
          <w14:textFill>
            <w14:solidFill>
              <w14:schemeClr w14:val="tx1"/>
            </w14:solidFill>
          </w14:textFill>
        </w:rPr>
        <w:t>的大学。</w:t>
      </w:r>
    </w:p>
    <w:p>
      <w:pPr>
        <w:spacing w:line="360" w:lineRule="auto"/>
        <w:ind w:left="420"/>
        <w:rPr>
          <w:rFonts w:asciiTheme="minorHAnsi" w:hAnsiTheme="minorHAnsi" w:eastAsiaTheme="majorEastAsia" w:cstheme="minorHAnsi"/>
          <w:color w:val="000000" w:themeColor="text1"/>
          <w:szCs w:val="21"/>
          <w:highlight w:val="none"/>
          <w14:textFill>
            <w14:solidFill>
              <w14:schemeClr w14:val="tx1"/>
            </w14:solidFill>
          </w14:textFill>
        </w:rPr>
      </w:pPr>
      <w:r>
        <w:rPr>
          <w:rFonts w:asciiTheme="minorHAnsi" w:hAnsiTheme="minorHAnsi" w:eastAsiaTheme="majorEastAsia" w:cstheme="minorHAnsi"/>
          <w:color w:val="000000" w:themeColor="text1"/>
          <w:szCs w:val="21"/>
          <w:highlight w:val="none"/>
          <w14:textFill>
            <w14:solidFill>
              <w14:schemeClr w14:val="tx1"/>
            </w14:solidFill>
          </w14:textFill>
        </w:rPr>
        <w:t>在201</w:t>
      </w:r>
      <w:r>
        <w:rPr>
          <w:rFonts w:hint="eastAsia" w:asciiTheme="minorHAnsi" w:hAnsiTheme="minorHAnsi" w:eastAsiaTheme="majorEastAsia" w:cstheme="minorHAnsi"/>
          <w:color w:val="000000" w:themeColor="text1"/>
          <w:szCs w:val="21"/>
          <w:highlight w:val="none"/>
          <w14:textFill>
            <w14:solidFill>
              <w14:schemeClr w14:val="tx1"/>
            </w14:solidFill>
          </w14:textFill>
        </w:rPr>
        <w:t>7</w:t>
      </w:r>
      <w:r>
        <w:rPr>
          <w:rFonts w:asciiTheme="minorHAnsi" w:hAnsiTheme="minorHAnsi" w:eastAsiaTheme="majorEastAsia" w:cstheme="minorHAnsi"/>
          <w:color w:val="000000" w:themeColor="text1"/>
          <w:szCs w:val="21"/>
          <w:highlight w:val="none"/>
          <w14:textFill>
            <w14:solidFill>
              <w14:schemeClr w14:val="tx1"/>
            </w14:solidFill>
          </w14:textFill>
        </w:rPr>
        <w:t>年</w:t>
      </w:r>
      <w:r>
        <w:rPr>
          <w:rFonts w:asciiTheme="minorHAnsi" w:hAnsiTheme="minorHAnsi" w:cstheme="minorHAnsi"/>
          <w:color w:val="000000" w:themeColor="text1"/>
          <w:kern w:val="0"/>
          <w:szCs w:val="21"/>
          <w:highlight w:val="none"/>
          <w14:textFill>
            <w14:solidFill>
              <w14:schemeClr w14:val="tx1"/>
            </w14:solidFill>
          </w14:textFill>
        </w:rPr>
        <w:t>《美国新闻与世界报道》发布的美国大学权威排名中，</w:t>
      </w:r>
      <w:r>
        <w:rPr>
          <w:rFonts w:asciiTheme="minorHAnsi" w:hAnsiTheme="minorHAnsi" w:eastAsiaTheme="majorEastAsia" w:cstheme="minorHAnsi"/>
          <w:color w:val="000000" w:themeColor="text1"/>
          <w:szCs w:val="21"/>
          <w:highlight w:val="none"/>
          <w14:textFill>
            <w14:solidFill>
              <w14:schemeClr w14:val="tx1"/>
            </w14:solidFill>
          </w14:textFill>
        </w:rPr>
        <w:t>加州大学河滨分校在</w:t>
      </w:r>
    </w:p>
    <w:p>
      <w:pPr>
        <w:spacing w:line="360" w:lineRule="auto"/>
        <w:rPr>
          <w:rFonts w:asciiTheme="minorHAnsi" w:hAnsiTheme="minorHAnsi" w:eastAsiaTheme="majorEastAsia" w:cstheme="minorHAnsi"/>
          <w:color w:val="000000" w:themeColor="text1"/>
          <w:szCs w:val="21"/>
          <w:highlight w:val="none"/>
          <w14:textFill>
            <w14:solidFill>
              <w14:schemeClr w14:val="tx1"/>
            </w14:solidFill>
          </w14:textFill>
        </w:rPr>
      </w:pPr>
      <w:r>
        <w:rPr>
          <w:rFonts w:asciiTheme="minorHAnsi" w:hAnsiTheme="minorHAnsi" w:eastAsiaTheme="majorEastAsia" w:cstheme="minorHAnsi"/>
          <w:color w:val="000000" w:themeColor="text1"/>
          <w:szCs w:val="21"/>
          <w:highlight w:val="none"/>
          <w14:textFill>
            <w14:solidFill>
              <w14:schemeClr w14:val="tx1"/>
            </w14:solidFill>
          </w14:textFill>
        </w:rPr>
        <w:t>全美公立大学中排名第5</w:t>
      </w:r>
      <w:r>
        <w:rPr>
          <w:rFonts w:hint="eastAsia" w:asciiTheme="minorHAnsi" w:hAnsiTheme="minorHAnsi" w:eastAsiaTheme="majorEastAsia" w:cstheme="minorHAnsi"/>
          <w:color w:val="000000" w:themeColor="text1"/>
          <w:szCs w:val="21"/>
          <w:highlight w:val="none"/>
          <w14:textFill>
            <w14:solidFill>
              <w14:schemeClr w14:val="tx1"/>
            </w14:solidFill>
          </w14:textFill>
        </w:rPr>
        <w:t>6</w:t>
      </w:r>
      <w:r>
        <w:rPr>
          <w:rFonts w:asciiTheme="minorHAnsi" w:hAnsiTheme="minorHAnsi" w:eastAsiaTheme="majorEastAsia" w:cstheme="minorHAnsi"/>
          <w:color w:val="000000" w:themeColor="text1"/>
          <w:szCs w:val="21"/>
          <w:highlight w:val="none"/>
          <w14:textFill>
            <w14:solidFill>
              <w14:schemeClr w14:val="tx1"/>
            </w14:solidFill>
          </w14:textFill>
        </w:rPr>
        <w:t>名、在全美4000多所高校综合排名第11</w:t>
      </w:r>
      <w:r>
        <w:rPr>
          <w:rFonts w:hint="eastAsia" w:asciiTheme="minorHAnsi" w:hAnsiTheme="minorHAnsi" w:eastAsiaTheme="majorEastAsia" w:cstheme="minorHAnsi"/>
          <w:color w:val="000000" w:themeColor="text1"/>
          <w:szCs w:val="21"/>
          <w:highlight w:val="none"/>
          <w14:textFill>
            <w14:solidFill>
              <w14:schemeClr w14:val="tx1"/>
            </w14:solidFill>
          </w14:textFill>
        </w:rPr>
        <w:t>8</w:t>
      </w:r>
      <w:r>
        <w:rPr>
          <w:rFonts w:asciiTheme="minorHAnsi" w:hAnsiTheme="minorHAnsi" w:eastAsiaTheme="majorEastAsia" w:cstheme="minorHAnsi"/>
          <w:color w:val="000000" w:themeColor="text1"/>
          <w:szCs w:val="21"/>
          <w:highlight w:val="none"/>
          <w14:textFill>
            <w14:solidFill>
              <w14:schemeClr w14:val="tx1"/>
            </w14:solidFill>
          </w14:textFill>
        </w:rPr>
        <w:t>名；在</w:t>
      </w:r>
      <w:r>
        <w:rPr>
          <w:rFonts w:asciiTheme="minorHAnsi" w:hAnsiTheme="minorHAnsi" w:cstheme="minorHAnsi"/>
          <w:color w:val="000000" w:themeColor="text1"/>
          <w:szCs w:val="21"/>
          <w:highlight w:val="none"/>
          <w14:textFill>
            <w14:solidFill>
              <w14:schemeClr w14:val="tx1"/>
            </w14:solidFill>
          </w14:textFill>
        </w:rPr>
        <w:t>上海交通大学发布的</w:t>
      </w:r>
      <w:r>
        <w:rPr>
          <w:rFonts w:asciiTheme="minorHAnsi" w:hAnsiTheme="minorHAnsi" w:eastAsiaTheme="majorEastAsia" w:cstheme="minorHAnsi"/>
          <w:color w:val="000000" w:themeColor="text1"/>
          <w:szCs w:val="21"/>
          <w:highlight w:val="none"/>
          <w14:textFill>
            <w14:solidFill>
              <w14:schemeClr w14:val="tx1"/>
            </w14:solidFill>
          </w14:textFill>
        </w:rPr>
        <w:t>全球高校学术排名中，河滨分校位于第1</w:t>
      </w:r>
      <w:r>
        <w:rPr>
          <w:rFonts w:hint="eastAsia" w:asciiTheme="minorHAnsi" w:hAnsiTheme="minorHAnsi" w:eastAsiaTheme="majorEastAsia" w:cstheme="minorHAnsi"/>
          <w:color w:val="000000" w:themeColor="text1"/>
          <w:szCs w:val="21"/>
          <w:highlight w:val="none"/>
          <w14:textFill>
            <w14:solidFill>
              <w14:schemeClr w14:val="tx1"/>
            </w14:solidFill>
          </w14:textFill>
        </w:rPr>
        <w:t>50</w:t>
      </w:r>
      <w:r>
        <w:rPr>
          <w:rFonts w:asciiTheme="minorHAnsi" w:hAnsiTheme="minorHAnsi" w:eastAsiaTheme="majorEastAsia" w:cstheme="minorHAnsi"/>
          <w:color w:val="000000" w:themeColor="text1"/>
          <w:szCs w:val="21"/>
          <w:highlight w:val="none"/>
          <w14:textFill>
            <w14:solidFill>
              <w14:schemeClr w14:val="tx1"/>
            </w14:solidFill>
          </w14:textFill>
        </w:rPr>
        <w:t>到第</w:t>
      </w:r>
      <w:r>
        <w:rPr>
          <w:rFonts w:hint="eastAsia" w:asciiTheme="minorHAnsi" w:hAnsiTheme="minorHAnsi" w:eastAsiaTheme="majorEastAsia" w:cstheme="minorHAnsi"/>
          <w:color w:val="000000" w:themeColor="text1"/>
          <w:szCs w:val="21"/>
          <w:highlight w:val="none"/>
          <w14:textFill>
            <w14:solidFill>
              <w14:schemeClr w14:val="tx1"/>
            </w14:solidFill>
          </w14:textFill>
        </w:rPr>
        <w:t>200</w:t>
      </w:r>
      <w:r>
        <w:rPr>
          <w:rFonts w:asciiTheme="minorHAnsi" w:hAnsiTheme="minorHAnsi" w:eastAsiaTheme="majorEastAsia" w:cstheme="minorHAnsi"/>
          <w:color w:val="000000" w:themeColor="text1"/>
          <w:szCs w:val="21"/>
          <w:highlight w:val="none"/>
          <w14:textFill>
            <w14:solidFill>
              <w14:schemeClr w14:val="tx1"/>
            </w14:solidFill>
          </w14:textFill>
        </w:rPr>
        <w:t>名；在</w:t>
      </w:r>
      <w:r>
        <w:rPr>
          <w:rFonts w:asciiTheme="minorHAnsi" w:hAnsiTheme="minorHAnsi" w:cstheme="minorHAnsi"/>
          <w:color w:val="000000" w:themeColor="text1"/>
          <w:szCs w:val="21"/>
          <w:highlight w:val="none"/>
          <w14:textFill>
            <w14:solidFill>
              <w14:schemeClr w14:val="tx1"/>
            </w14:solidFill>
          </w14:textFill>
        </w:rPr>
        <w:t>201</w:t>
      </w:r>
      <w:r>
        <w:rPr>
          <w:rFonts w:hint="eastAsia" w:asciiTheme="minorHAnsi" w:hAnsiTheme="minorHAnsi" w:cstheme="minorHAnsi"/>
          <w:color w:val="000000" w:themeColor="text1"/>
          <w:szCs w:val="21"/>
          <w:highlight w:val="none"/>
          <w14:textFill>
            <w14:solidFill>
              <w14:schemeClr w14:val="tx1"/>
            </w14:solidFill>
          </w14:textFill>
        </w:rPr>
        <w:t>6</w:t>
      </w:r>
      <w:r>
        <w:rPr>
          <w:rFonts w:asciiTheme="minorHAnsi" w:hAnsiTheme="minorHAnsi" w:cstheme="minorHAnsi"/>
          <w:color w:val="000000" w:themeColor="text1"/>
          <w:szCs w:val="21"/>
          <w:highlight w:val="none"/>
          <w14:textFill>
            <w14:solidFill>
              <w14:schemeClr w14:val="tx1"/>
            </w14:solidFill>
          </w14:textFill>
        </w:rPr>
        <w:t xml:space="preserve"> Times世界大学排名中，河滨分校位列第</w:t>
      </w:r>
      <w:r>
        <w:rPr>
          <w:rFonts w:asciiTheme="minorHAnsi" w:hAnsiTheme="minorHAnsi" w:eastAsiaTheme="majorEastAsia" w:cstheme="minorHAnsi"/>
          <w:color w:val="000000" w:themeColor="text1"/>
          <w:szCs w:val="21"/>
          <w:highlight w:val="none"/>
          <w14:textFill>
            <w14:solidFill>
              <w14:schemeClr w14:val="tx1"/>
            </w14:solidFill>
          </w14:textFill>
        </w:rPr>
        <w:t>1</w:t>
      </w:r>
      <w:r>
        <w:rPr>
          <w:rFonts w:hint="eastAsia" w:asciiTheme="minorHAnsi" w:hAnsiTheme="minorHAnsi" w:eastAsiaTheme="majorEastAsia" w:cstheme="minorHAnsi"/>
          <w:color w:val="000000" w:themeColor="text1"/>
          <w:szCs w:val="21"/>
          <w:highlight w:val="none"/>
          <w14:textFill>
            <w14:solidFill>
              <w14:schemeClr w14:val="tx1"/>
            </w14:solidFill>
          </w14:textFill>
        </w:rPr>
        <w:t>65</w:t>
      </w:r>
      <w:r>
        <w:rPr>
          <w:rFonts w:asciiTheme="minorHAnsi" w:hAnsiTheme="minorHAnsi" w:eastAsiaTheme="majorEastAsia" w:cstheme="minorHAnsi"/>
          <w:color w:val="000000" w:themeColor="text1"/>
          <w:szCs w:val="21"/>
          <w:highlight w:val="none"/>
          <w14:textFill>
            <w14:solidFill>
              <w14:schemeClr w14:val="tx1"/>
            </w14:solidFill>
          </w14:textFill>
        </w:rPr>
        <w:t>位。</w:t>
      </w:r>
      <w:r>
        <w:rPr>
          <w:rFonts w:hint="eastAsia" w:asciiTheme="minorHAnsi" w:hAnsiTheme="minorHAnsi" w:eastAsiaTheme="majorEastAsia" w:cstheme="minorHAnsi"/>
          <w:color w:val="000000" w:themeColor="text1"/>
          <w:szCs w:val="21"/>
          <w:highlight w:val="none"/>
          <w14:textFill>
            <w14:solidFill>
              <w14:schemeClr w14:val="tx1"/>
            </w14:solidFill>
          </w14:textFill>
        </w:rPr>
        <w:t>加州大学河滨分校教育学院于1969年成立，是加州大学系统中最早开设本科教育学专业的分校，目前授予教师资格证书、教育相关专业的硕士及博士学位。</w:t>
      </w:r>
    </w:p>
    <w:p>
      <w:pPr>
        <w:spacing w:line="360" w:lineRule="auto"/>
        <w:rPr>
          <w:rFonts w:asciiTheme="minorHAnsi" w:hAnsiTheme="minorHAnsi" w:eastAsiaTheme="majorEastAsia" w:cstheme="minorHAnsi"/>
          <w:color w:val="000000" w:themeColor="text1"/>
          <w:szCs w:val="21"/>
          <w:highlight w:val="none"/>
          <w14:textFill>
            <w14:solidFill>
              <w14:schemeClr w14:val="tx1"/>
            </w14:solidFill>
          </w14:textFill>
        </w:rPr>
      </w:pPr>
    </w:p>
    <w:p>
      <w:pPr>
        <w:widowControl/>
        <w:spacing w:line="360" w:lineRule="auto"/>
        <w:jc w:val="left"/>
        <w:rPr>
          <w:rFonts w:asciiTheme="minorHAnsi" w:hAnsiTheme="minorHAnsi" w:eastAsiaTheme="majorEastAsia" w:cstheme="minorHAnsi"/>
          <w:b/>
          <w:bCs/>
          <w:color w:val="000000" w:themeColor="text1"/>
          <w:kern w:val="0"/>
          <w:szCs w:val="21"/>
          <w:highlight w:val="none"/>
          <w14:textFill>
            <w14:solidFill>
              <w14:schemeClr w14:val="tx1"/>
            </w14:solidFill>
          </w14:textFill>
        </w:rPr>
      </w:pPr>
      <w:r>
        <w:rPr>
          <w:rFonts w:asciiTheme="minorHAnsi" w:hAnsiTheme="minorHAnsi" w:eastAsiaTheme="majorEastAsia" w:cstheme="minorHAnsi"/>
          <w:b/>
          <w:bCs/>
          <w:color w:val="000000" w:themeColor="text1"/>
          <w:kern w:val="0"/>
          <w:szCs w:val="21"/>
          <w:highlight w:val="none"/>
          <w14:textFill>
            <w14:solidFill>
              <w14:schemeClr w14:val="tx1"/>
            </w14:solidFill>
          </w14:textFill>
        </w:rPr>
        <w:t>2、</w:t>
      </w:r>
      <w:r>
        <w:rPr>
          <w:rFonts w:hint="eastAsia" w:asciiTheme="minorHAnsi" w:hAnsiTheme="minorHAnsi" w:eastAsiaTheme="majorEastAsia" w:cstheme="minorHAnsi"/>
          <w:b/>
          <w:bCs/>
          <w:color w:val="000000" w:themeColor="text1"/>
          <w:kern w:val="0"/>
          <w:szCs w:val="21"/>
          <w:highlight w:val="none"/>
          <w14:textFill>
            <w14:solidFill>
              <w14:schemeClr w14:val="tx1"/>
            </w14:solidFill>
          </w14:textFill>
        </w:rPr>
        <w:t xml:space="preserve"> </w:t>
      </w:r>
      <w:r>
        <w:rPr>
          <w:rFonts w:asciiTheme="minorHAnsi" w:hAnsiTheme="minorHAnsi" w:eastAsiaTheme="majorEastAsia" w:cstheme="minorHAnsi"/>
          <w:b/>
          <w:color w:val="000000" w:themeColor="text1"/>
          <w:szCs w:val="21"/>
          <w:highlight w:val="none"/>
          <w14:textFill>
            <w14:solidFill>
              <w14:schemeClr w14:val="tx1"/>
            </w14:solidFill>
          </w14:textFill>
        </w:rPr>
        <w:t>访学</w:t>
      </w:r>
      <w:r>
        <w:rPr>
          <w:rFonts w:hint="eastAsia" w:asciiTheme="minorHAnsi" w:hAnsiTheme="minorHAnsi" w:eastAsiaTheme="majorEastAsia" w:cstheme="minorHAnsi"/>
          <w:b/>
          <w:color w:val="000000" w:themeColor="text1"/>
          <w:szCs w:val="21"/>
          <w:highlight w:val="none"/>
          <w14:textFill>
            <w14:solidFill>
              <w14:schemeClr w14:val="tx1"/>
            </w14:solidFill>
          </w14:textFill>
        </w:rPr>
        <w:t>项目及时间介绍</w:t>
      </w:r>
    </w:p>
    <w:p>
      <w:pPr>
        <w:widowControl/>
        <w:spacing w:line="360" w:lineRule="auto"/>
        <w:ind w:firstLine="420" w:firstLineChars="200"/>
        <w:jc w:val="left"/>
        <w:rPr>
          <w:rFonts w:asciiTheme="minorHAnsi" w:hAnsiTheme="minorHAnsi" w:eastAsiaTheme="majorEastAsia" w:cstheme="minorHAnsi"/>
          <w:color w:val="000000" w:themeColor="text1"/>
          <w:szCs w:val="21"/>
          <w:highlight w:val="none"/>
          <w14:textFill>
            <w14:solidFill>
              <w14:schemeClr w14:val="tx1"/>
            </w14:solidFill>
          </w14:textFill>
        </w:rPr>
      </w:pPr>
      <w:r>
        <w:rPr>
          <w:rFonts w:hint="eastAsia" w:asciiTheme="minorHAnsi" w:hAnsiTheme="minorHAnsi" w:eastAsiaTheme="majorEastAsia" w:cstheme="minorHAnsi"/>
          <w:color w:val="000000" w:themeColor="text1"/>
          <w:szCs w:val="21"/>
          <w:highlight w:val="none"/>
          <w14:textFill>
            <w14:solidFill>
              <w14:schemeClr w14:val="tx1"/>
            </w14:solidFill>
          </w14:textFill>
        </w:rPr>
        <w:t>本项目面向已经在本校完成至少大学一年级学习的优秀学生。 通过选拔的学生参加的项目分为三个阶段：</w:t>
      </w:r>
    </w:p>
    <w:p>
      <w:pPr>
        <w:widowControl/>
        <w:spacing w:line="360" w:lineRule="auto"/>
        <w:ind w:firstLine="422" w:firstLineChars="200"/>
        <w:jc w:val="left"/>
        <w:rPr>
          <w:rFonts w:asciiTheme="minorHAnsi" w:hAnsiTheme="minorHAnsi" w:eastAsiaTheme="majorEastAsia" w:cstheme="minorHAnsi"/>
          <w:b/>
          <w:color w:val="000000" w:themeColor="text1"/>
          <w:szCs w:val="21"/>
          <w:highlight w:val="none"/>
          <w:u w:val="single"/>
          <w14:textFill>
            <w14:solidFill>
              <w14:schemeClr w14:val="tx1"/>
            </w14:solidFill>
          </w14:textFill>
        </w:rPr>
      </w:pPr>
      <w:r>
        <w:rPr>
          <w:rFonts w:hint="eastAsia" w:asciiTheme="minorHAnsi" w:hAnsiTheme="minorHAnsi" w:eastAsiaTheme="majorEastAsia" w:cstheme="minorHAnsi"/>
          <w:b/>
          <w:color w:val="000000" w:themeColor="text1"/>
          <w:szCs w:val="21"/>
          <w:highlight w:val="none"/>
          <w:u w:val="single"/>
          <w14:textFill>
            <w14:solidFill>
              <w14:schemeClr w14:val="tx1"/>
            </w14:solidFill>
          </w14:textFill>
        </w:rPr>
        <w:t>第一阶段：学习TESOL证书课程</w:t>
      </w:r>
      <w:r>
        <w:rPr>
          <w:rFonts w:asciiTheme="minorHAnsi" w:hAnsiTheme="minorHAnsi" w:eastAsiaTheme="majorEastAsia" w:cstheme="minorHAnsi"/>
          <w:b/>
          <w:color w:val="000000" w:themeColor="text1"/>
          <w:szCs w:val="21"/>
          <w:highlight w:val="none"/>
          <w:u w:val="single"/>
          <w14:textFill>
            <w14:solidFill>
              <w14:schemeClr w14:val="tx1"/>
            </w14:solidFill>
          </w14:textFill>
        </w:rPr>
        <w:t xml:space="preserve"> </w:t>
      </w:r>
    </w:p>
    <w:p>
      <w:pPr>
        <w:widowControl/>
        <w:spacing w:line="360" w:lineRule="auto"/>
        <w:ind w:firstLine="420" w:firstLineChars="200"/>
        <w:jc w:val="left"/>
        <w:rPr>
          <w:rFonts w:asciiTheme="minorHAnsi" w:hAnsiTheme="minorHAnsi" w:eastAsiaTheme="majorEastAsia" w:cstheme="minorHAnsi"/>
          <w:color w:val="000000" w:themeColor="text1"/>
          <w:szCs w:val="21"/>
          <w:highlight w:val="none"/>
          <w14:textFill>
            <w14:solidFill>
              <w14:schemeClr w14:val="tx1"/>
            </w14:solidFill>
          </w14:textFill>
        </w:rPr>
      </w:pPr>
      <w:r>
        <w:rPr>
          <w:rFonts w:hint="eastAsia" w:asciiTheme="minorHAnsi" w:hAnsiTheme="minorHAnsi" w:eastAsiaTheme="majorEastAsia" w:cstheme="minorHAnsi"/>
          <w:color w:val="000000" w:themeColor="text1"/>
          <w:szCs w:val="21"/>
          <w:highlight w:val="none"/>
          <w14:textFill>
            <w14:solidFill>
              <w14:schemeClr w14:val="tx1"/>
            </w14:solidFill>
          </w14:textFill>
        </w:rPr>
        <w:t>通过选拔的学生在加州大学河滨分校学习TESOL课程。TESOL，即Teaching English to Speakers of Other Languages，意为国际英语教师资格证书， TESOL资格证书全球通用，在国际英语教学界受到广泛认可，拥有TESOL证书者能够进入英语教学的全球职业市场。加州大学河滨分校国际教育项目部（UCR Extension）是加州大学河滨分校专门负责国际访学生和继续教育的部门，已经有近40年开设TESOL课程的丰富经验，TESOL证书由UCR Extension颁发。学生同时获得加州大学河滨分校的正式成绩单及学分，</w:t>
      </w:r>
      <w:r>
        <w:rPr>
          <w:rFonts w:asciiTheme="minorHAnsi" w:hAnsiTheme="minorHAnsi" w:eastAsiaTheme="majorEastAsia" w:cstheme="minorHAnsi"/>
          <w:color w:val="000000" w:themeColor="text1"/>
          <w:szCs w:val="21"/>
          <w:highlight w:val="none"/>
          <w14:textFill>
            <w14:solidFill>
              <w14:schemeClr w14:val="tx1"/>
            </w14:solidFill>
          </w14:textFill>
        </w:rPr>
        <w:t>经</w:t>
      </w:r>
      <w:r>
        <w:rPr>
          <w:rFonts w:hint="eastAsia" w:asciiTheme="minorHAnsi" w:hAnsiTheme="minorHAnsi" w:eastAsiaTheme="majorEastAsia" w:cstheme="minorHAnsi"/>
          <w:color w:val="000000" w:themeColor="text1"/>
          <w:szCs w:val="21"/>
          <w:highlight w:val="none"/>
          <w14:textFill>
            <w14:solidFill>
              <w14:schemeClr w14:val="tx1"/>
            </w14:solidFill>
          </w14:textFill>
        </w:rPr>
        <w:t>本校</w:t>
      </w:r>
      <w:r>
        <w:rPr>
          <w:rFonts w:asciiTheme="minorHAnsi" w:hAnsiTheme="minorHAnsi" w:eastAsiaTheme="majorEastAsia" w:cstheme="minorHAnsi"/>
          <w:color w:val="000000" w:themeColor="text1"/>
          <w:szCs w:val="21"/>
          <w:highlight w:val="none"/>
          <w14:textFill>
            <w14:solidFill>
              <w14:schemeClr w14:val="tx1"/>
            </w14:solidFill>
          </w14:textFill>
        </w:rPr>
        <w:t>教务处</w:t>
      </w:r>
      <w:r>
        <w:rPr>
          <w:rFonts w:hint="eastAsia" w:asciiTheme="minorHAnsi" w:hAnsiTheme="minorHAnsi" w:eastAsiaTheme="majorEastAsia" w:cstheme="minorHAnsi"/>
          <w:color w:val="000000" w:themeColor="text1"/>
          <w:szCs w:val="21"/>
          <w:highlight w:val="none"/>
          <w14:textFill>
            <w14:solidFill>
              <w14:schemeClr w14:val="tx1"/>
            </w14:solidFill>
          </w14:textFill>
        </w:rPr>
        <w:t>获院系评估</w:t>
      </w:r>
      <w:r>
        <w:rPr>
          <w:rFonts w:asciiTheme="minorHAnsi" w:hAnsiTheme="minorHAnsi" w:eastAsiaTheme="majorEastAsia" w:cstheme="minorHAnsi"/>
          <w:color w:val="000000" w:themeColor="text1"/>
          <w:szCs w:val="21"/>
          <w:highlight w:val="none"/>
          <w14:textFill>
            <w14:solidFill>
              <w14:schemeClr w14:val="tx1"/>
            </w14:solidFill>
          </w14:textFill>
        </w:rPr>
        <w:t>认可的学分可转为本校学分。</w:t>
      </w:r>
      <w:r>
        <w:rPr>
          <w:rFonts w:hint="eastAsia" w:asciiTheme="minorHAnsi" w:hAnsiTheme="minorHAnsi" w:eastAsiaTheme="majorEastAsia" w:cstheme="minorHAnsi"/>
          <w:color w:val="000000" w:themeColor="text1"/>
          <w:szCs w:val="21"/>
          <w:highlight w:val="none"/>
          <w14:textFill>
            <w14:solidFill>
              <w14:schemeClr w14:val="tx1"/>
            </w14:solidFill>
          </w14:textFill>
        </w:rPr>
        <w:t>（根据各校具体情况）。学生完成一学期的学习并通过考核后，可获得TESOL证书。</w:t>
      </w:r>
    </w:p>
    <w:p>
      <w:pPr>
        <w:widowControl/>
        <w:spacing w:line="360" w:lineRule="auto"/>
        <w:ind w:firstLine="420" w:firstLineChars="200"/>
        <w:jc w:val="left"/>
        <w:rPr>
          <w:rFonts w:asciiTheme="minorHAnsi" w:hAnsiTheme="minorHAnsi" w:eastAsiaTheme="majorEastAsia" w:cstheme="minorHAnsi"/>
          <w:color w:val="000000" w:themeColor="text1"/>
          <w:szCs w:val="21"/>
          <w:highlight w:val="none"/>
          <w14:textFill>
            <w14:solidFill>
              <w14:schemeClr w14:val="tx1"/>
            </w14:solidFill>
          </w14:textFill>
        </w:rPr>
      </w:pPr>
      <w:r>
        <w:rPr>
          <w:rFonts w:hint="eastAsia" w:asciiTheme="minorHAnsi" w:hAnsiTheme="minorHAnsi" w:eastAsiaTheme="majorEastAsia" w:cstheme="minorHAnsi"/>
          <w:color w:val="000000" w:themeColor="text1"/>
          <w:szCs w:val="21"/>
          <w:highlight w:val="none"/>
          <w14:textFill>
            <w14:solidFill>
              <w14:schemeClr w14:val="tx1"/>
            </w14:solidFill>
          </w14:textFill>
        </w:rPr>
        <w:t>面向不同英语水平的学生，TESOL课程提供不同的入学路径：</w:t>
      </w:r>
    </w:p>
    <w:p>
      <w:pPr>
        <w:widowControl/>
        <w:spacing w:line="360" w:lineRule="auto"/>
        <w:ind w:firstLine="420"/>
        <w:jc w:val="left"/>
        <w:rPr>
          <w:rFonts w:asciiTheme="minorHAnsi" w:hAnsiTheme="minorHAnsi" w:eastAsiaTheme="majorEastAsia" w:cstheme="minorHAnsi"/>
          <w:b/>
          <w:color w:val="000000" w:themeColor="text1"/>
          <w:szCs w:val="21"/>
          <w:highlight w:val="none"/>
          <w14:textFill>
            <w14:solidFill>
              <w14:schemeClr w14:val="tx1"/>
            </w14:solidFill>
          </w14:textFill>
        </w:rPr>
      </w:pPr>
      <w:r>
        <w:rPr>
          <w:rFonts w:hint="eastAsia" w:asciiTheme="minorHAnsi" w:hAnsiTheme="minorHAnsi" w:eastAsiaTheme="majorEastAsia" w:cstheme="minorHAnsi"/>
          <w:b/>
          <w:color w:val="000000" w:themeColor="text1"/>
          <w:szCs w:val="21"/>
          <w:highlight w:val="none"/>
          <w14:textFill>
            <w14:solidFill>
              <w14:schemeClr w14:val="tx1"/>
            </w14:solidFill>
          </w14:textFill>
        </w:rPr>
        <w:t>1）路径一：1学期（3个月）TESOL证书，2018年3月26日 – 2018年6月15日</w:t>
      </w:r>
    </w:p>
    <w:p>
      <w:pPr>
        <w:widowControl/>
        <w:spacing w:line="360" w:lineRule="auto"/>
        <w:ind w:firstLine="420" w:firstLineChars="200"/>
        <w:jc w:val="left"/>
        <w:rPr>
          <w:rFonts w:asciiTheme="minorHAnsi" w:hAnsiTheme="minorHAnsi" w:eastAsiaTheme="majorEastAsia" w:cstheme="minorHAnsi"/>
          <w:color w:val="000000" w:themeColor="text1"/>
          <w:szCs w:val="21"/>
          <w:highlight w:val="none"/>
          <w14:textFill>
            <w14:solidFill>
              <w14:schemeClr w14:val="tx1"/>
            </w14:solidFill>
          </w14:textFill>
        </w:rPr>
      </w:pPr>
      <w:r>
        <w:rPr>
          <w:rFonts w:hint="eastAsia" w:asciiTheme="minorHAnsi" w:hAnsiTheme="minorHAnsi" w:eastAsiaTheme="majorEastAsia" w:cstheme="minorHAnsi"/>
          <w:color w:val="000000" w:themeColor="text1"/>
          <w:szCs w:val="21"/>
          <w:highlight w:val="none"/>
          <w14:textFill>
            <w14:solidFill>
              <w14:schemeClr w14:val="tx1"/>
            </w14:solidFill>
          </w14:textFill>
        </w:rPr>
        <w:t>申请人达到</w:t>
      </w:r>
      <w:r>
        <w:rPr>
          <w:rFonts w:hint="eastAsia" w:asciiTheme="minorHAnsi" w:hAnsiTheme="minorHAnsi" w:eastAsiaTheme="majorEastAsia" w:cstheme="minorHAnsi"/>
          <w:color w:val="000000" w:themeColor="text1"/>
          <w:szCs w:val="21"/>
          <w:highlight w:val="none"/>
          <w:u w:val="single"/>
          <w14:textFill>
            <w14:solidFill>
              <w14:schemeClr w14:val="tx1"/>
            </w14:solidFill>
          </w14:textFill>
        </w:rPr>
        <w:t>托福8</w:t>
      </w:r>
      <w:r>
        <w:rPr>
          <w:rFonts w:asciiTheme="minorHAnsi" w:hAnsiTheme="minorHAnsi" w:eastAsiaTheme="majorEastAsia" w:cstheme="minorHAnsi"/>
          <w:color w:val="000000" w:themeColor="text1"/>
          <w:szCs w:val="21"/>
          <w:highlight w:val="none"/>
          <w:u w:val="single"/>
          <w14:textFill>
            <w14:solidFill>
              <w14:schemeClr w14:val="tx1"/>
            </w14:solidFill>
          </w14:textFill>
        </w:rPr>
        <w:t>0</w:t>
      </w:r>
      <w:r>
        <w:rPr>
          <w:rFonts w:hint="eastAsia" w:asciiTheme="minorHAnsi" w:hAnsiTheme="minorHAnsi" w:eastAsiaTheme="majorEastAsia" w:cstheme="minorHAnsi"/>
          <w:color w:val="000000" w:themeColor="text1"/>
          <w:szCs w:val="21"/>
          <w:highlight w:val="none"/>
          <w:u w:val="single"/>
          <w14:textFill>
            <w14:solidFill>
              <w14:schemeClr w14:val="tx1"/>
            </w14:solidFill>
          </w14:textFill>
        </w:rPr>
        <w:t>分（口语不低于</w:t>
      </w:r>
      <w:r>
        <w:rPr>
          <w:rFonts w:asciiTheme="minorHAnsi" w:hAnsiTheme="minorHAnsi" w:eastAsiaTheme="majorEastAsia" w:cstheme="minorHAnsi"/>
          <w:color w:val="000000" w:themeColor="text1"/>
          <w:szCs w:val="21"/>
          <w:highlight w:val="none"/>
          <w:u w:val="single"/>
          <w14:textFill>
            <w14:solidFill>
              <w14:schemeClr w14:val="tx1"/>
            </w14:solidFill>
          </w14:textFill>
        </w:rPr>
        <w:t>2</w:t>
      </w:r>
      <w:r>
        <w:rPr>
          <w:rFonts w:hint="eastAsia" w:asciiTheme="minorHAnsi" w:hAnsiTheme="minorHAnsi" w:eastAsiaTheme="majorEastAsia" w:cstheme="minorHAnsi"/>
          <w:color w:val="000000" w:themeColor="text1"/>
          <w:szCs w:val="21"/>
          <w:highlight w:val="none"/>
          <w:u w:val="single"/>
          <w14:textFill>
            <w14:solidFill>
              <w14:schemeClr w14:val="tx1"/>
            </w14:solidFill>
          </w14:textFill>
        </w:rPr>
        <w:t>3分）；或雅思</w:t>
      </w:r>
      <w:r>
        <w:rPr>
          <w:rFonts w:asciiTheme="minorHAnsi" w:hAnsiTheme="minorHAnsi" w:eastAsiaTheme="majorEastAsia" w:cstheme="minorHAnsi"/>
          <w:color w:val="000000" w:themeColor="text1"/>
          <w:szCs w:val="21"/>
          <w:highlight w:val="none"/>
          <w:u w:val="single"/>
          <w14:textFill>
            <w14:solidFill>
              <w14:schemeClr w14:val="tx1"/>
            </w14:solidFill>
          </w14:textFill>
        </w:rPr>
        <w:t>6</w:t>
      </w:r>
      <w:r>
        <w:rPr>
          <w:rFonts w:hint="eastAsia" w:asciiTheme="minorHAnsi" w:hAnsiTheme="minorHAnsi" w:eastAsiaTheme="majorEastAsia" w:cstheme="minorHAnsi"/>
          <w:color w:val="000000" w:themeColor="text1"/>
          <w:szCs w:val="21"/>
          <w:highlight w:val="none"/>
          <w:u w:val="single"/>
          <w14:textFill>
            <w14:solidFill>
              <w14:schemeClr w14:val="tx1"/>
            </w14:solidFill>
          </w14:textFill>
        </w:rPr>
        <w:t>.5分（口语不低于</w:t>
      </w:r>
      <w:r>
        <w:rPr>
          <w:rFonts w:asciiTheme="minorHAnsi" w:hAnsiTheme="minorHAnsi" w:eastAsiaTheme="majorEastAsia" w:cstheme="minorHAnsi"/>
          <w:color w:val="000000" w:themeColor="text1"/>
          <w:szCs w:val="21"/>
          <w:highlight w:val="none"/>
          <w:u w:val="single"/>
          <w14:textFill>
            <w14:solidFill>
              <w14:schemeClr w14:val="tx1"/>
            </w14:solidFill>
          </w14:textFill>
        </w:rPr>
        <w:t>6</w:t>
      </w:r>
      <w:r>
        <w:rPr>
          <w:rFonts w:hint="eastAsia" w:asciiTheme="minorHAnsi" w:hAnsiTheme="minorHAnsi" w:eastAsiaTheme="majorEastAsia" w:cstheme="minorHAnsi"/>
          <w:color w:val="000000" w:themeColor="text1"/>
          <w:szCs w:val="21"/>
          <w:highlight w:val="none"/>
          <w:u w:val="single"/>
          <w14:textFill>
            <w14:solidFill>
              <w14:schemeClr w14:val="tx1"/>
            </w14:solidFill>
          </w14:textFill>
        </w:rPr>
        <w:t>.0分）</w:t>
      </w:r>
      <w:r>
        <w:rPr>
          <w:rFonts w:hint="eastAsia" w:asciiTheme="minorHAnsi" w:hAnsiTheme="minorHAnsi" w:eastAsiaTheme="majorEastAsia" w:cstheme="minorHAnsi"/>
          <w:color w:val="000000" w:themeColor="text1"/>
          <w:szCs w:val="21"/>
          <w:highlight w:val="none"/>
          <w14:textFill>
            <w14:solidFill>
              <w14:schemeClr w14:val="tx1"/>
            </w14:solidFill>
          </w14:textFill>
        </w:rPr>
        <w:t>；或通过加州大学河滨分校的在线语言测试。学生一学期需修读至少12个学分的课程，学习英语教学基础课程、TESOL框架与方法、语法结构与教学方法、语言学与语言能力提高、听力与口语教学方法等课程。 如通过内测进入项目，在学期结束时，必须重新参加托福或雅思考试，并达到托福8</w:t>
      </w:r>
      <w:r>
        <w:rPr>
          <w:rFonts w:asciiTheme="minorHAnsi" w:hAnsiTheme="minorHAnsi" w:eastAsiaTheme="majorEastAsia" w:cstheme="minorHAnsi"/>
          <w:color w:val="000000" w:themeColor="text1"/>
          <w:szCs w:val="21"/>
          <w:highlight w:val="none"/>
          <w14:textFill>
            <w14:solidFill>
              <w14:schemeClr w14:val="tx1"/>
            </w14:solidFill>
          </w14:textFill>
        </w:rPr>
        <w:t>0</w:t>
      </w:r>
      <w:r>
        <w:rPr>
          <w:rFonts w:hint="eastAsia" w:asciiTheme="minorHAnsi" w:hAnsiTheme="minorHAnsi" w:eastAsiaTheme="majorEastAsia" w:cstheme="minorHAnsi"/>
          <w:color w:val="000000" w:themeColor="text1"/>
          <w:szCs w:val="21"/>
          <w:highlight w:val="none"/>
          <w14:textFill>
            <w14:solidFill>
              <w14:schemeClr w14:val="tx1"/>
            </w14:solidFill>
          </w14:textFill>
        </w:rPr>
        <w:t>分（口语不低于</w:t>
      </w:r>
      <w:r>
        <w:rPr>
          <w:rFonts w:asciiTheme="minorHAnsi" w:hAnsiTheme="minorHAnsi" w:eastAsiaTheme="majorEastAsia" w:cstheme="minorHAnsi"/>
          <w:color w:val="000000" w:themeColor="text1"/>
          <w:szCs w:val="21"/>
          <w:highlight w:val="none"/>
          <w14:textFill>
            <w14:solidFill>
              <w14:schemeClr w14:val="tx1"/>
            </w14:solidFill>
          </w14:textFill>
        </w:rPr>
        <w:t>2</w:t>
      </w:r>
      <w:r>
        <w:rPr>
          <w:rFonts w:hint="eastAsia" w:asciiTheme="minorHAnsi" w:hAnsiTheme="minorHAnsi" w:eastAsiaTheme="majorEastAsia" w:cstheme="minorHAnsi"/>
          <w:color w:val="000000" w:themeColor="text1"/>
          <w:szCs w:val="21"/>
          <w:highlight w:val="none"/>
          <w14:textFill>
            <w14:solidFill>
              <w14:schemeClr w14:val="tx1"/>
            </w14:solidFill>
          </w14:textFill>
        </w:rPr>
        <w:t>3分）；或雅思</w:t>
      </w:r>
      <w:r>
        <w:rPr>
          <w:rFonts w:asciiTheme="minorHAnsi" w:hAnsiTheme="minorHAnsi" w:eastAsiaTheme="majorEastAsia" w:cstheme="minorHAnsi"/>
          <w:color w:val="000000" w:themeColor="text1"/>
          <w:szCs w:val="21"/>
          <w:highlight w:val="none"/>
          <w14:textFill>
            <w14:solidFill>
              <w14:schemeClr w14:val="tx1"/>
            </w14:solidFill>
          </w14:textFill>
        </w:rPr>
        <w:t>6</w:t>
      </w:r>
      <w:r>
        <w:rPr>
          <w:rFonts w:hint="eastAsia" w:asciiTheme="minorHAnsi" w:hAnsiTheme="minorHAnsi" w:eastAsiaTheme="majorEastAsia" w:cstheme="minorHAnsi"/>
          <w:color w:val="000000" w:themeColor="text1"/>
          <w:szCs w:val="21"/>
          <w:highlight w:val="none"/>
          <w14:textFill>
            <w14:solidFill>
              <w14:schemeClr w14:val="tx1"/>
            </w14:solidFill>
          </w14:textFill>
        </w:rPr>
        <w:t>.5分（口语不低于</w:t>
      </w:r>
      <w:r>
        <w:rPr>
          <w:rFonts w:asciiTheme="minorHAnsi" w:hAnsiTheme="minorHAnsi" w:eastAsiaTheme="majorEastAsia" w:cstheme="minorHAnsi"/>
          <w:color w:val="000000" w:themeColor="text1"/>
          <w:szCs w:val="21"/>
          <w:highlight w:val="none"/>
          <w14:textFill>
            <w14:solidFill>
              <w14:schemeClr w14:val="tx1"/>
            </w14:solidFill>
          </w14:textFill>
        </w:rPr>
        <w:t>6</w:t>
      </w:r>
      <w:r>
        <w:rPr>
          <w:rFonts w:hint="eastAsia" w:asciiTheme="minorHAnsi" w:hAnsiTheme="minorHAnsi" w:eastAsiaTheme="majorEastAsia" w:cstheme="minorHAnsi"/>
          <w:color w:val="000000" w:themeColor="text1"/>
          <w:szCs w:val="21"/>
          <w:highlight w:val="none"/>
          <w14:textFill>
            <w14:solidFill>
              <w14:schemeClr w14:val="tx1"/>
            </w14:solidFill>
          </w14:textFill>
        </w:rPr>
        <w:t>.0分）的要求，才可以获得TESOL证书。</w:t>
      </w:r>
    </w:p>
    <w:p>
      <w:pPr>
        <w:widowControl/>
        <w:spacing w:line="360" w:lineRule="auto"/>
        <w:ind w:firstLine="422" w:firstLineChars="200"/>
        <w:jc w:val="left"/>
        <w:rPr>
          <w:rFonts w:asciiTheme="minorHAnsi" w:hAnsiTheme="minorHAnsi" w:eastAsiaTheme="majorEastAsia" w:cstheme="minorHAnsi"/>
          <w:b/>
          <w:color w:val="000000" w:themeColor="text1"/>
          <w:szCs w:val="21"/>
          <w:highlight w:val="none"/>
          <w14:textFill>
            <w14:solidFill>
              <w14:schemeClr w14:val="tx1"/>
            </w14:solidFill>
          </w14:textFill>
        </w:rPr>
      </w:pPr>
      <w:r>
        <w:rPr>
          <w:rFonts w:hint="eastAsia" w:asciiTheme="minorHAnsi" w:hAnsiTheme="minorHAnsi" w:eastAsiaTheme="majorEastAsia" w:cstheme="minorHAnsi"/>
          <w:b/>
          <w:color w:val="000000" w:themeColor="text1"/>
          <w:szCs w:val="21"/>
          <w:highlight w:val="none"/>
          <w14:textFill>
            <w14:solidFill>
              <w14:schemeClr w14:val="tx1"/>
            </w14:solidFill>
          </w14:textFill>
        </w:rPr>
        <w:t>2）路径二：2学期（6个月）TESOL预科+TESOL证书，2018年1月2日 – 2018年6月15日</w:t>
      </w:r>
    </w:p>
    <w:p>
      <w:pPr>
        <w:widowControl/>
        <w:spacing w:line="360" w:lineRule="auto"/>
        <w:ind w:firstLine="420" w:firstLineChars="200"/>
        <w:jc w:val="left"/>
        <w:rPr>
          <w:rFonts w:asciiTheme="minorHAnsi" w:hAnsiTheme="minorHAnsi" w:eastAsiaTheme="majorEastAsia" w:cstheme="minorHAnsi"/>
          <w:b/>
          <w:color w:val="000000" w:themeColor="text1"/>
          <w:szCs w:val="21"/>
          <w:highlight w:val="none"/>
          <w:u w:val="single"/>
          <w14:textFill>
            <w14:solidFill>
              <w14:schemeClr w14:val="tx1"/>
            </w14:solidFill>
          </w14:textFill>
        </w:rPr>
      </w:pPr>
      <w:r>
        <w:rPr>
          <w:rFonts w:hint="eastAsia" w:asciiTheme="minorHAnsi" w:hAnsiTheme="minorHAnsi" w:eastAsiaTheme="majorEastAsia" w:cstheme="minorHAnsi"/>
          <w:color w:val="000000" w:themeColor="text1"/>
          <w:szCs w:val="21"/>
          <w:highlight w:val="none"/>
          <w14:textFill>
            <w14:solidFill>
              <w14:schemeClr w14:val="tx1"/>
            </w14:solidFill>
          </w14:textFill>
        </w:rPr>
        <w:t>申请人达到</w:t>
      </w:r>
      <w:r>
        <w:rPr>
          <w:rFonts w:hint="eastAsia" w:asciiTheme="minorHAnsi" w:hAnsiTheme="minorHAnsi" w:eastAsiaTheme="majorEastAsia" w:cstheme="minorHAnsi"/>
          <w:color w:val="000000" w:themeColor="text1"/>
          <w:szCs w:val="21"/>
          <w:highlight w:val="none"/>
          <w:u w:val="single"/>
          <w14:textFill>
            <w14:solidFill>
              <w14:schemeClr w14:val="tx1"/>
            </w14:solidFill>
          </w14:textFill>
        </w:rPr>
        <w:t>托福71分（口语不低于</w:t>
      </w:r>
      <w:r>
        <w:rPr>
          <w:rFonts w:asciiTheme="minorHAnsi" w:hAnsiTheme="minorHAnsi" w:eastAsiaTheme="majorEastAsia" w:cstheme="minorHAnsi"/>
          <w:color w:val="000000" w:themeColor="text1"/>
          <w:szCs w:val="21"/>
          <w:highlight w:val="none"/>
          <w:u w:val="single"/>
          <w14:textFill>
            <w14:solidFill>
              <w14:schemeClr w14:val="tx1"/>
            </w14:solidFill>
          </w14:textFill>
        </w:rPr>
        <w:t>2</w:t>
      </w:r>
      <w:r>
        <w:rPr>
          <w:rFonts w:hint="eastAsia" w:asciiTheme="minorHAnsi" w:hAnsiTheme="minorHAnsi" w:eastAsiaTheme="majorEastAsia" w:cstheme="minorHAnsi"/>
          <w:color w:val="000000" w:themeColor="text1"/>
          <w:szCs w:val="21"/>
          <w:highlight w:val="none"/>
          <w:u w:val="single"/>
          <w14:textFill>
            <w14:solidFill>
              <w14:schemeClr w14:val="tx1"/>
            </w14:solidFill>
          </w14:textFill>
        </w:rPr>
        <w:t>2分）；或雅思</w:t>
      </w:r>
      <w:r>
        <w:rPr>
          <w:rFonts w:asciiTheme="minorHAnsi" w:hAnsiTheme="minorHAnsi" w:eastAsiaTheme="majorEastAsia" w:cstheme="minorHAnsi"/>
          <w:color w:val="000000" w:themeColor="text1"/>
          <w:szCs w:val="21"/>
          <w:highlight w:val="none"/>
          <w:u w:val="single"/>
          <w14:textFill>
            <w14:solidFill>
              <w14:schemeClr w14:val="tx1"/>
            </w14:solidFill>
          </w14:textFill>
        </w:rPr>
        <w:t>6</w:t>
      </w:r>
      <w:r>
        <w:rPr>
          <w:rFonts w:hint="eastAsia" w:asciiTheme="minorHAnsi" w:hAnsiTheme="minorHAnsi" w:eastAsiaTheme="majorEastAsia" w:cstheme="minorHAnsi"/>
          <w:color w:val="000000" w:themeColor="text1"/>
          <w:szCs w:val="21"/>
          <w:highlight w:val="none"/>
          <w:u w:val="single"/>
          <w14:textFill>
            <w14:solidFill>
              <w14:schemeClr w14:val="tx1"/>
            </w14:solidFill>
          </w14:textFill>
        </w:rPr>
        <w:t>.0分（口语不低于</w:t>
      </w:r>
      <w:r>
        <w:rPr>
          <w:rFonts w:asciiTheme="minorHAnsi" w:hAnsiTheme="minorHAnsi" w:eastAsiaTheme="majorEastAsia" w:cstheme="minorHAnsi"/>
          <w:color w:val="000000" w:themeColor="text1"/>
          <w:szCs w:val="21"/>
          <w:highlight w:val="none"/>
          <w:u w:val="single"/>
          <w14:textFill>
            <w14:solidFill>
              <w14:schemeClr w14:val="tx1"/>
            </w14:solidFill>
          </w14:textFill>
        </w:rPr>
        <w:t>6</w:t>
      </w:r>
      <w:r>
        <w:rPr>
          <w:rFonts w:hint="eastAsia" w:asciiTheme="minorHAnsi" w:hAnsiTheme="minorHAnsi" w:eastAsiaTheme="majorEastAsia" w:cstheme="minorHAnsi"/>
          <w:color w:val="000000" w:themeColor="text1"/>
          <w:szCs w:val="21"/>
          <w:highlight w:val="none"/>
          <w:u w:val="single"/>
          <w14:textFill>
            <w14:solidFill>
              <w14:schemeClr w14:val="tx1"/>
            </w14:solidFill>
          </w14:textFill>
        </w:rPr>
        <w:t>.0分）</w:t>
      </w:r>
      <w:r>
        <w:rPr>
          <w:rFonts w:hint="eastAsia" w:asciiTheme="minorHAnsi" w:hAnsiTheme="minorHAnsi" w:eastAsiaTheme="majorEastAsia" w:cstheme="minorHAnsi"/>
          <w:color w:val="000000" w:themeColor="text1"/>
          <w:szCs w:val="21"/>
          <w:highlight w:val="none"/>
          <w14:textFill>
            <w14:solidFill>
              <w14:schemeClr w14:val="tx1"/>
            </w14:solidFill>
          </w14:textFill>
        </w:rPr>
        <w:t xml:space="preserve">；或通过加州大学河滨分校的在线语言测试。学生需要先修读1学期（3个月，2018年1月2日 </w:t>
      </w:r>
      <w:r>
        <w:rPr>
          <w:rFonts w:asciiTheme="minorHAnsi" w:hAnsiTheme="minorHAnsi" w:eastAsiaTheme="majorEastAsia" w:cstheme="minorHAnsi"/>
          <w:color w:val="000000" w:themeColor="text1"/>
          <w:szCs w:val="21"/>
          <w:highlight w:val="none"/>
          <w14:textFill>
            <w14:solidFill>
              <w14:schemeClr w14:val="tx1"/>
            </w14:solidFill>
          </w14:textFill>
        </w:rPr>
        <w:t>–</w:t>
      </w:r>
      <w:r>
        <w:rPr>
          <w:rFonts w:hint="eastAsia" w:asciiTheme="minorHAnsi" w:hAnsiTheme="minorHAnsi" w:eastAsiaTheme="majorEastAsia" w:cstheme="minorHAnsi"/>
          <w:color w:val="000000" w:themeColor="text1"/>
          <w:szCs w:val="21"/>
          <w:highlight w:val="none"/>
          <w14:textFill>
            <w14:solidFill>
              <w14:schemeClr w14:val="tx1"/>
            </w14:solidFill>
          </w14:textFill>
        </w:rPr>
        <w:t xml:space="preserve"> 3月23日）的“TESOL预科”课程。第一学期结束时，如通过全部课程的考核，可在第二学期继续修读TESOL证书课程，系统学习英语教学方法论与实践。第二学期结束时，经考核并达到托福雅思要求，可获得TESOL证书。</w:t>
      </w:r>
    </w:p>
    <w:p>
      <w:pPr>
        <w:widowControl/>
        <w:spacing w:line="360" w:lineRule="auto"/>
        <w:ind w:firstLine="422" w:firstLineChars="200"/>
        <w:jc w:val="left"/>
        <w:rPr>
          <w:rFonts w:asciiTheme="minorHAnsi" w:hAnsiTheme="minorHAnsi" w:eastAsiaTheme="majorEastAsia" w:cstheme="minorHAnsi"/>
          <w:b/>
          <w:color w:val="000000" w:themeColor="text1"/>
          <w:szCs w:val="21"/>
          <w:highlight w:val="none"/>
          <w:u w:val="single"/>
          <w14:textFill>
            <w14:solidFill>
              <w14:schemeClr w14:val="tx1"/>
            </w14:solidFill>
          </w14:textFill>
        </w:rPr>
      </w:pPr>
      <w:r>
        <w:rPr>
          <w:rFonts w:hint="eastAsia" w:asciiTheme="minorHAnsi" w:hAnsiTheme="minorHAnsi" w:eastAsiaTheme="majorEastAsia" w:cstheme="minorHAnsi"/>
          <w:b/>
          <w:color w:val="000000" w:themeColor="text1"/>
          <w:szCs w:val="21"/>
          <w:highlight w:val="none"/>
          <w:u w:val="single"/>
          <w14:textFill>
            <w14:solidFill>
              <w14:schemeClr w14:val="tx1"/>
            </w14:solidFill>
          </w14:textFill>
        </w:rPr>
        <w:t>第二阶段：回到国内大学读书，获得国内大学学士学位</w:t>
      </w:r>
    </w:p>
    <w:p>
      <w:pPr>
        <w:widowControl/>
        <w:spacing w:line="360" w:lineRule="auto"/>
        <w:ind w:firstLine="420" w:firstLineChars="200"/>
        <w:jc w:val="left"/>
        <w:rPr>
          <w:rFonts w:asciiTheme="minorHAnsi" w:hAnsiTheme="minorHAnsi" w:eastAsiaTheme="majorEastAsia" w:cstheme="minorHAnsi"/>
          <w:color w:val="000000" w:themeColor="text1"/>
          <w:szCs w:val="21"/>
          <w:highlight w:val="none"/>
          <w14:textFill>
            <w14:solidFill>
              <w14:schemeClr w14:val="tx1"/>
            </w14:solidFill>
          </w14:textFill>
        </w:rPr>
      </w:pPr>
      <w:r>
        <w:rPr>
          <w:rFonts w:hint="eastAsia" w:asciiTheme="minorHAnsi" w:hAnsiTheme="minorHAnsi" w:eastAsiaTheme="majorEastAsia" w:cstheme="minorHAnsi"/>
          <w:color w:val="000000" w:themeColor="text1"/>
          <w:szCs w:val="21"/>
          <w:highlight w:val="none"/>
          <w14:textFill>
            <w14:solidFill>
              <w14:schemeClr w14:val="tx1"/>
            </w14:solidFill>
          </w14:textFill>
        </w:rPr>
        <w:t>学生获得TESOL证书后，回国在本校完成本科毕业所需完成的课程及毕业论文，办理毕业手续，达到要求的学生获得本校毕业证书和学位证书。同时，在大四上学期开始申请UCR教育学研究生课程。</w:t>
      </w:r>
    </w:p>
    <w:p>
      <w:pPr>
        <w:widowControl/>
        <w:spacing w:line="360" w:lineRule="auto"/>
        <w:ind w:firstLine="422" w:firstLineChars="200"/>
        <w:jc w:val="left"/>
        <w:rPr>
          <w:rFonts w:asciiTheme="minorHAnsi" w:hAnsiTheme="minorHAnsi" w:eastAsiaTheme="majorEastAsia" w:cstheme="minorHAnsi"/>
          <w:b/>
          <w:color w:val="000000" w:themeColor="text1"/>
          <w:szCs w:val="21"/>
          <w:highlight w:val="none"/>
          <w:u w:val="single"/>
          <w14:textFill>
            <w14:solidFill>
              <w14:schemeClr w14:val="tx1"/>
            </w14:solidFill>
          </w14:textFill>
        </w:rPr>
      </w:pPr>
      <w:r>
        <w:rPr>
          <w:rFonts w:hint="eastAsia" w:asciiTheme="minorHAnsi" w:hAnsiTheme="minorHAnsi" w:eastAsiaTheme="majorEastAsia" w:cstheme="minorHAnsi"/>
          <w:b/>
          <w:color w:val="000000" w:themeColor="text1"/>
          <w:szCs w:val="21"/>
          <w:highlight w:val="none"/>
          <w:u w:val="single"/>
          <w14:textFill>
            <w14:solidFill>
              <w14:schemeClr w14:val="tx1"/>
            </w14:solidFill>
          </w14:textFill>
        </w:rPr>
        <w:t>第三阶段：在加州大学河滨分校攻读教育学硕士（3学期，9个月）</w:t>
      </w:r>
    </w:p>
    <w:p>
      <w:pPr>
        <w:widowControl/>
        <w:spacing w:line="360" w:lineRule="auto"/>
        <w:ind w:firstLine="420" w:firstLineChars="200"/>
        <w:jc w:val="left"/>
        <w:rPr>
          <w:rFonts w:asciiTheme="minorHAnsi" w:hAnsiTheme="minorHAnsi" w:eastAsiaTheme="majorEastAsia" w:cstheme="minorHAnsi"/>
          <w:color w:val="000000" w:themeColor="text1"/>
          <w:szCs w:val="21"/>
          <w:highlight w:val="none"/>
          <w14:textFill>
            <w14:solidFill>
              <w14:schemeClr w14:val="tx1"/>
            </w14:solidFill>
          </w14:textFill>
        </w:rPr>
      </w:pPr>
      <w:r>
        <w:rPr>
          <w:rFonts w:hint="eastAsia" w:asciiTheme="minorHAnsi" w:hAnsiTheme="minorHAnsi" w:eastAsiaTheme="majorEastAsia" w:cstheme="minorHAnsi"/>
          <w:color w:val="000000" w:themeColor="text1"/>
          <w:szCs w:val="21"/>
          <w:highlight w:val="none"/>
          <w14:textFill>
            <w14:solidFill>
              <w14:schemeClr w14:val="tx1"/>
            </w14:solidFill>
          </w14:textFill>
        </w:rPr>
        <w:t>获得加州大学河滨分校教育学院研究生录取的学生回到美国学习研究生课程。 由于已获得TESOL证书，将转移8个专业学分到硕士阶段，项目学生只需在UCR学习三个学期的</w:t>
      </w:r>
      <w:r>
        <w:rPr>
          <w:rFonts w:hint="eastAsia" w:asciiTheme="minorHAnsi" w:hAnsiTheme="minorHAnsi" w:eastAsiaTheme="majorEastAsia" w:cstheme="minorHAnsi"/>
          <w:b/>
          <w:color w:val="000000" w:themeColor="text1"/>
          <w:szCs w:val="21"/>
          <w:highlight w:val="none"/>
          <w:u w:val="single"/>
          <w14:textFill>
            <w14:solidFill>
              <w14:schemeClr w14:val="tx1"/>
            </w14:solidFill>
          </w14:textFill>
        </w:rPr>
        <w:t>教育学硕士（国际英语教学方向）</w:t>
      </w:r>
      <w:r>
        <w:rPr>
          <w:rFonts w:hint="eastAsia" w:asciiTheme="minorHAnsi" w:hAnsiTheme="minorHAnsi" w:eastAsiaTheme="majorEastAsia" w:cstheme="minorHAnsi"/>
          <w:color w:val="000000" w:themeColor="text1"/>
          <w:szCs w:val="21"/>
          <w:highlight w:val="none"/>
          <w14:textFill>
            <w14:solidFill>
              <w14:schemeClr w14:val="tx1"/>
            </w14:solidFill>
          </w14:textFill>
        </w:rPr>
        <w:t>课程，即在秋季和冬季学期分别修读3门研究生课程、在第二年春季完成毕业论文。达到要求的学生于第二年6月中旬完成学习，获得加州大学河滨分校颁发的</w:t>
      </w:r>
      <w:r>
        <w:rPr>
          <w:rFonts w:hint="eastAsia" w:asciiTheme="minorHAnsi" w:hAnsiTheme="minorHAnsi" w:eastAsiaTheme="majorEastAsia" w:cstheme="minorHAnsi"/>
          <w:b/>
          <w:color w:val="000000" w:themeColor="text1"/>
          <w:szCs w:val="21"/>
          <w:highlight w:val="none"/>
          <w:u w:val="single"/>
          <w14:textFill>
            <w14:solidFill>
              <w14:schemeClr w14:val="tx1"/>
            </w14:solidFill>
          </w14:textFill>
        </w:rPr>
        <w:t>教育学硕士（国际英语教学方向）</w:t>
      </w:r>
      <w:r>
        <w:rPr>
          <w:rFonts w:hint="eastAsia" w:asciiTheme="minorHAnsi" w:hAnsiTheme="minorHAnsi" w:eastAsiaTheme="majorEastAsia" w:cstheme="minorHAnsi"/>
          <w:color w:val="000000" w:themeColor="text1"/>
          <w:szCs w:val="21"/>
          <w:highlight w:val="none"/>
          <w14:textFill>
            <w14:solidFill>
              <w14:schemeClr w14:val="tx1"/>
            </w14:solidFill>
          </w14:textFill>
        </w:rPr>
        <w:t>学位。如果学生获得加州大学河滨分校教育学硕士、且在学校连续不间断学习三个学期，毕业后还可以申请在美国带薪实习一年。</w:t>
      </w:r>
    </w:p>
    <w:p>
      <w:pPr>
        <w:widowControl/>
        <w:spacing w:line="360" w:lineRule="auto"/>
        <w:ind w:firstLine="420" w:firstLineChars="200"/>
        <w:jc w:val="left"/>
        <w:rPr>
          <w:rFonts w:asciiTheme="minorHAnsi" w:hAnsiTheme="minorHAnsi" w:eastAsiaTheme="majorEastAsia" w:cstheme="minorHAnsi"/>
          <w:color w:val="000000" w:themeColor="text1"/>
          <w:szCs w:val="21"/>
          <w:highlight w:val="none"/>
          <w14:textFill>
            <w14:solidFill>
              <w14:schemeClr w14:val="tx1"/>
            </w14:solidFill>
          </w14:textFill>
        </w:rPr>
      </w:pPr>
      <w:r>
        <w:rPr>
          <w:rFonts w:hint="eastAsia" w:asciiTheme="minorHAnsi" w:hAnsiTheme="minorHAnsi" w:eastAsiaTheme="majorEastAsia" w:cstheme="minorHAnsi"/>
          <w:color w:val="000000" w:themeColor="text1"/>
          <w:szCs w:val="21"/>
          <w:highlight w:val="none"/>
          <w14:textFill>
            <w14:solidFill>
              <w14:schemeClr w14:val="tx1"/>
            </w14:solidFill>
          </w14:textFill>
        </w:rPr>
        <w:t>TESOL与硕士学位课程全部小班授课，国际学生与美国本土学生充分互动。</w:t>
      </w:r>
    </w:p>
    <w:p>
      <w:pPr>
        <w:widowControl/>
        <w:spacing w:line="360" w:lineRule="auto"/>
        <w:ind w:firstLine="420" w:firstLineChars="200"/>
        <w:jc w:val="left"/>
        <w:rPr>
          <w:rFonts w:asciiTheme="minorHAnsi" w:hAnsiTheme="minorHAnsi" w:eastAsiaTheme="majorEastAsia" w:cstheme="minorHAnsi"/>
          <w:color w:val="000000" w:themeColor="text1"/>
          <w:szCs w:val="21"/>
          <w:highlight w:val="none"/>
          <w14:textFill>
            <w14:solidFill>
              <w14:schemeClr w14:val="tx1"/>
            </w14:solidFill>
          </w14:textFill>
        </w:rPr>
      </w:pPr>
      <w:r>
        <w:rPr>
          <w:rFonts w:asciiTheme="minorHAnsi" w:hAnsiTheme="minorHAnsi" w:eastAsiaTheme="majorEastAsia" w:cstheme="minorHAnsi"/>
          <w:color w:val="000000" w:themeColor="text1"/>
          <w:szCs w:val="21"/>
          <w:highlight w:val="none"/>
          <w14:textFill>
            <w14:solidFill>
              <w14:schemeClr w14:val="tx1"/>
            </w14:solidFill>
          </w14:textFill>
        </w:rPr>
        <w:t>其他活动：加州大学河滨分校独特的地理优势使学生与丰富的课余活动近在咫尺，</w:t>
      </w:r>
      <w:r>
        <w:rPr>
          <w:rFonts w:hint="eastAsia" w:asciiTheme="minorHAnsi" w:hAnsiTheme="minorHAnsi" w:eastAsiaTheme="majorEastAsia" w:cstheme="minorHAnsi"/>
          <w:color w:val="000000" w:themeColor="text1"/>
          <w:szCs w:val="21"/>
          <w:highlight w:val="none"/>
          <w14:textFill>
            <w14:solidFill>
              <w14:schemeClr w14:val="tx1"/>
            </w14:solidFill>
          </w14:textFill>
        </w:rPr>
        <w:t>课余可</w:t>
      </w:r>
      <w:r>
        <w:rPr>
          <w:rFonts w:asciiTheme="minorHAnsi" w:hAnsiTheme="minorHAnsi" w:eastAsiaTheme="majorEastAsia" w:cstheme="minorHAnsi"/>
          <w:color w:val="000000" w:themeColor="text1"/>
          <w:szCs w:val="21"/>
          <w:highlight w:val="none"/>
          <w14:textFill>
            <w14:solidFill>
              <w14:schemeClr w14:val="tx1"/>
            </w14:solidFill>
          </w14:textFill>
        </w:rPr>
        <w:t>参观迪士尼乐园</w:t>
      </w:r>
      <w:r>
        <w:rPr>
          <w:rFonts w:hint="eastAsia" w:asciiTheme="minorHAnsi" w:hAnsiTheme="minorHAnsi" w:eastAsiaTheme="majorEastAsia" w:cstheme="minorHAnsi"/>
          <w:color w:val="000000" w:themeColor="text1"/>
          <w:szCs w:val="21"/>
          <w:highlight w:val="none"/>
          <w14:textFill>
            <w14:solidFill>
              <w14:schemeClr w14:val="tx1"/>
            </w14:solidFill>
          </w14:textFill>
        </w:rPr>
        <w:t>、</w:t>
      </w:r>
      <w:r>
        <w:rPr>
          <w:rFonts w:asciiTheme="minorHAnsi" w:hAnsiTheme="minorHAnsi" w:eastAsiaTheme="majorEastAsia" w:cstheme="minorHAnsi"/>
          <w:color w:val="000000" w:themeColor="text1"/>
          <w:szCs w:val="21"/>
          <w:highlight w:val="none"/>
          <w14:textFill>
            <w14:solidFill>
              <w14:schemeClr w14:val="tx1"/>
            </w14:solidFill>
          </w14:textFill>
        </w:rPr>
        <w:t>环球影城</w:t>
      </w:r>
      <w:r>
        <w:rPr>
          <w:rFonts w:hint="eastAsia" w:asciiTheme="minorHAnsi" w:hAnsiTheme="minorHAnsi" w:eastAsiaTheme="majorEastAsia" w:cstheme="minorHAnsi"/>
          <w:color w:val="000000" w:themeColor="text1"/>
          <w:szCs w:val="21"/>
          <w:highlight w:val="none"/>
          <w14:textFill>
            <w14:solidFill>
              <w14:schemeClr w14:val="tx1"/>
            </w14:solidFill>
          </w14:textFill>
        </w:rPr>
        <w:t>、</w:t>
      </w:r>
      <w:r>
        <w:rPr>
          <w:rFonts w:asciiTheme="minorHAnsi" w:hAnsiTheme="minorHAnsi" w:eastAsiaTheme="majorEastAsia" w:cstheme="minorHAnsi"/>
          <w:color w:val="000000" w:themeColor="text1"/>
          <w:szCs w:val="21"/>
          <w:highlight w:val="none"/>
          <w14:textFill>
            <w14:solidFill>
              <w14:schemeClr w14:val="tx1"/>
            </w14:solidFill>
          </w14:textFill>
        </w:rPr>
        <w:t>海滨</w:t>
      </w:r>
      <w:r>
        <w:rPr>
          <w:rFonts w:hint="eastAsia" w:asciiTheme="minorHAnsi" w:hAnsiTheme="minorHAnsi" w:eastAsiaTheme="majorEastAsia" w:cstheme="minorHAnsi"/>
          <w:color w:val="000000" w:themeColor="text1"/>
          <w:szCs w:val="21"/>
          <w:highlight w:val="none"/>
          <w14:textFill>
            <w14:solidFill>
              <w14:schemeClr w14:val="tx1"/>
            </w14:solidFill>
          </w14:textFill>
        </w:rPr>
        <w:t>及内陆沙漠地区</w:t>
      </w:r>
      <w:r>
        <w:rPr>
          <w:rFonts w:asciiTheme="minorHAnsi" w:hAnsiTheme="minorHAnsi" w:eastAsiaTheme="majorEastAsia" w:cstheme="minorHAnsi"/>
          <w:color w:val="000000" w:themeColor="text1"/>
          <w:szCs w:val="21"/>
          <w:highlight w:val="none"/>
          <w14:textFill>
            <w14:solidFill>
              <w14:schemeClr w14:val="tx1"/>
            </w14:solidFill>
          </w14:textFill>
        </w:rPr>
        <w:t>，观看NBA洛杉矶湖人队比赛等</w:t>
      </w:r>
      <w:r>
        <w:rPr>
          <w:rFonts w:hint="eastAsia" w:asciiTheme="minorHAnsi" w:hAnsiTheme="minorHAnsi" w:eastAsiaTheme="majorEastAsia" w:cstheme="minorHAnsi"/>
          <w:color w:val="000000" w:themeColor="text1"/>
          <w:szCs w:val="21"/>
          <w:highlight w:val="none"/>
          <w14:textFill>
            <w14:solidFill>
              <w14:schemeClr w14:val="tx1"/>
            </w14:solidFill>
          </w14:textFill>
        </w:rPr>
        <w:t>。</w:t>
      </w:r>
    </w:p>
    <w:p>
      <w:pPr>
        <w:widowControl/>
        <w:spacing w:line="360" w:lineRule="auto"/>
        <w:jc w:val="left"/>
        <w:rPr>
          <w:rFonts w:asciiTheme="minorHAnsi" w:hAnsiTheme="minorHAnsi" w:eastAsiaTheme="majorEastAsia" w:cstheme="minorHAnsi"/>
          <w:bCs/>
          <w:color w:val="000000" w:themeColor="text1"/>
          <w:kern w:val="0"/>
          <w:szCs w:val="21"/>
          <w:highlight w:val="none"/>
          <w14:textFill>
            <w14:solidFill>
              <w14:schemeClr w14:val="tx1"/>
            </w14:solidFill>
          </w14:textFill>
        </w:rPr>
      </w:pPr>
      <w:r>
        <w:rPr>
          <w:rFonts w:asciiTheme="minorHAnsi" w:hAnsiTheme="minorHAnsi" w:eastAsiaTheme="majorEastAsia" w:cstheme="minorHAnsi"/>
          <w:b/>
          <w:bCs/>
          <w:color w:val="000000" w:themeColor="text1"/>
          <w:kern w:val="0"/>
          <w:szCs w:val="21"/>
          <w:highlight w:val="none"/>
          <w14:textFill>
            <w14:solidFill>
              <w14:schemeClr w14:val="tx1"/>
            </w14:solidFill>
          </w14:textFill>
        </w:rPr>
        <w:t>3、</w:t>
      </w:r>
      <w:r>
        <w:rPr>
          <w:rFonts w:hint="eastAsia" w:asciiTheme="minorHAnsi" w:hAnsiTheme="minorHAnsi" w:eastAsiaTheme="majorEastAsia" w:cstheme="minorHAnsi"/>
          <w:b/>
          <w:bCs/>
          <w:color w:val="000000" w:themeColor="text1"/>
          <w:kern w:val="0"/>
          <w:szCs w:val="21"/>
          <w:highlight w:val="none"/>
          <w14:textFill>
            <w14:solidFill>
              <w14:schemeClr w14:val="tx1"/>
            </w14:solidFill>
          </w14:textFill>
        </w:rPr>
        <w:t xml:space="preserve"> 项目</w:t>
      </w:r>
      <w:r>
        <w:rPr>
          <w:rFonts w:asciiTheme="minorHAnsi" w:hAnsiTheme="minorHAnsi" w:eastAsiaTheme="majorEastAsia" w:cstheme="minorHAnsi"/>
          <w:b/>
          <w:bCs/>
          <w:color w:val="000000" w:themeColor="text1"/>
          <w:kern w:val="0"/>
          <w:szCs w:val="21"/>
          <w:highlight w:val="none"/>
          <w14:textFill>
            <w14:solidFill>
              <w14:schemeClr w14:val="tx1"/>
            </w14:solidFill>
          </w14:textFill>
        </w:rPr>
        <w:t>费用</w:t>
      </w:r>
    </w:p>
    <w:p>
      <w:pPr>
        <w:spacing w:line="360" w:lineRule="auto"/>
        <w:ind w:firstLine="420" w:firstLineChars="200"/>
        <w:rPr>
          <w:rFonts w:asciiTheme="minorHAnsi" w:hAnsiTheme="minorHAnsi" w:eastAsiaTheme="majorEastAsia" w:cstheme="minorHAnsi"/>
          <w:color w:val="000000" w:themeColor="text1"/>
          <w:szCs w:val="21"/>
          <w:highlight w:val="none"/>
          <w14:textFill>
            <w14:solidFill>
              <w14:schemeClr w14:val="tx1"/>
            </w14:solidFill>
          </w14:textFill>
        </w:rPr>
      </w:pPr>
      <w:r>
        <w:rPr>
          <w:rFonts w:hint="eastAsia" w:asciiTheme="minorHAnsi" w:hAnsiTheme="minorHAnsi" w:eastAsiaTheme="majorEastAsia" w:cstheme="minorHAnsi"/>
          <w:color w:val="000000" w:themeColor="text1"/>
          <w:szCs w:val="21"/>
          <w:highlight w:val="none"/>
          <w14:textFill>
            <w14:solidFill>
              <w14:schemeClr w14:val="tx1"/>
            </w14:solidFill>
          </w14:textFill>
        </w:rPr>
        <w:t>第一阶段学习加州大学河滨分校TESOL证书课程的项目费用：路径一约9,350美元（约合人民币6.5万元）；路径二的项目费用约1.38万美元（约合人民币9.5万元）。项目费用包括申请费、学费、杂费、在读期间医疗保险、及项目设计与管理费，</w:t>
      </w:r>
      <w:r>
        <w:rPr>
          <w:rFonts w:hint="eastAsia" w:asciiTheme="minorHAnsi" w:hAnsiTheme="minorHAnsi" w:eastAsiaTheme="majorEastAsia" w:cstheme="minorHAnsi"/>
          <w:b/>
          <w:color w:val="000000" w:themeColor="text1"/>
          <w:szCs w:val="21"/>
          <w:highlight w:val="none"/>
          <w14:textFill>
            <w14:solidFill>
              <w14:schemeClr w14:val="tx1"/>
            </w14:solidFill>
          </w14:textFill>
        </w:rPr>
        <w:t>不包括</w:t>
      </w:r>
      <w:r>
        <w:rPr>
          <w:rFonts w:hint="eastAsia" w:asciiTheme="minorHAnsi" w:hAnsiTheme="minorHAnsi" w:eastAsiaTheme="majorEastAsia" w:cstheme="minorHAnsi"/>
          <w:color w:val="000000" w:themeColor="text1"/>
          <w:szCs w:val="21"/>
          <w:highlight w:val="none"/>
          <w14:textFill>
            <w14:solidFill>
              <w14:schemeClr w14:val="tx1"/>
            </w14:solidFill>
          </w14:textFill>
        </w:rPr>
        <w:t>住宿费、生活费、机票签证、以及硕士阶段的学习费用。</w:t>
      </w:r>
    </w:p>
    <w:p>
      <w:pPr>
        <w:widowControl/>
        <w:spacing w:line="360" w:lineRule="auto"/>
        <w:jc w:val="left"/>
        <w:rPr>
          <w:rFonts w:asciiTheme="minorHAnsi" w:hAnsiTheme="minorHAnsi" w:eastAsiaTheme="majorEastAsia" w:cstheme="minorHAnsi"/>
          <w:color w:val="000000" w:themeColor="text1"/>
          <w:kern w:val="0"/>
          <w:szCs w:val="21"/>
          <w:highlight w:val="none"/>
          <w14:textFill>
            <w14:solidFill>
              <w14:schemeClr w14:val="tx1"/>
            </w14:solidFill>
          </w14:textFill>
        </w:rPr>
      </w:pPr>
    </w:p>
    <w:p>
      <w:pPr>
        <w:pStyle w:val="16"/>
        <w:widowControl/>
        <w:numPr>
          <w:ilvl w:val="0"/>
          <w:numId w:val="1"/>
        </w:numPr>
        <w:spacing w:line="360" w:lineRule="auto"/>
        <w:ind w:firstLineChars="0"/>
        <w:jc w:val="left"/>
        <w:rPr>
          <w:rFonts w:asciiTheme="minorHAnsi" w:hAnsiTheme="minorHAnsi" w:eastAsiaTheme="majorEastAsia" w:cstheme="minorHAnsi"/>
          <w:b/>
          <w:bCs/>
          <w:color w:val="000000" w:themeColor="text1"/>
          <w:kern w:val="0"/>
          <w:szCs w:val="21"/>
          <w:highlight w:val="none"/>
          <w14:textFill>
            <w14:solidFill>
              <w14:schemeClr w14:val="tx1"/>
            </w14:solidFill>
          </w14:textFill>
        </w:rPr>
      </w:pPr>
      <w:r>
        <w:rPr>
          <w:rFonts w:hint="eastAsia" w:asciiTheme="minorHAnsi" w:hAnsiTheme="minorHAnsi" w:eastAsiaTheme="majorEastAsia" w:cstheme="minorHAnsi"/>
          <w:b/>
          <w:bCs/>
          <w:color w:val="000000" w:themeColor="text1"/>
          <w:kern w:val="0"/>
          <w:szCs w:val="21"/>
          <w:highlight w:val="none"/>
          <w14:textFill>
            <w14:solidFill>
              <w14:schemeClr w14:val="tx1"/>
            </w14:solidFill>
          </w14:textFill>
        </w:rPr>
        <w:t>申请条件</w:t>
      </w:r>
    </w:p>
    <w:p>
      <w:pPr>
        <w:pStyle w:val="16"/>
        <w:numPr>
          <w:ilvl w:val="0"/>
          <w:numId w:val="2"/>
        </w:numPr>
        <w:spacing w:line="360" w:lineRule="auto"/>
        <w:ind w:firstLineChars="0"/>
        <w:rPr>
          <w:rFonts w:asciiTheme="minorHAnsi" w:hAnsiTheme="minorHAnsi" w:eastAsiaTheme="majorEastAsia" w:cstheme="minorHAnsi"/>
          <w:b/>
          <w:color w:val="000000" w:themeColor="text1"/>
          <w:kern w:val="0"/>
          <w:szCs w:val="21"/>
          <w:highlight w:val="none"/>
          <w14:textFill>
            <w14:solidFill>
              <w14:schemeClr w14:val="tx1"/>
            </w14:solidFill>
          </w14:textFill>
        </w:rPr>
      </w:pPr>
      <w:r>
        <w:rPr>
          <w:rFonts w:asciiTheme="minorHAnsi" w:hAnsiTheme="minorHAnsi" w:eastAsiaTheme="majorEastAsia" w:cstheme="minorHAnsi"/>
          <w:b/>
          <w:color w:val="000000" w:themeColor="text1"/>
          <w:kern w:val="0"/>
          <w:szCs w:val="21"/>
          <w:highlight w:val="none"/>
          <w14:textFill>
            <w14:solidFill>
              <w14:schemeClr w14:val="tx1"/>
            </w14:solidFill>
          </w14:textFill>
        </w:rPr>
        <w:t>项目名额</w:t>
      </w:r>
    </w:p>
    <w:p>
      <w:pPr>
        <w:pStyle w:val="16"/>
        <w:spacing w:line="360" w:lineRule="auto"/>
        <w:ind w:left="360" w:firstLine="0" w:firstLineChars="0"/>
        <w:rPr>
          <w:rFonts w:asciiTheme="minorHAnsi" w:hAnsiTheme="minorHAnsi" w:eastAsiaTheme="majorEastAsia" w:cstheme="minorHAnsi"/>
          <w:color w:val="000000" w:themeColor="text1"/>
          <w:kern w:val="0"/>
          <w:szCs w:val="21"/>
          <w:highlight w:val="none"/>
          <w14:textFill>
            <w14:solidFill>
              <w14:schemeClr w14:val="tx1"/>
            </w14:solidFill>
          </w14:textFill>
        </w:rPr>
      </w:pPr>
      <w:r>
        <w:rPr>
          <w:rFonts w:asciiTheme="minorHAnsi" w:hAnsiTheme="minorHAnsi" w:eastAsiaTheme="majorEastAsia" w:cstheme="minorHAnsi"/>
          <w:color w:val="000000" w:themeColor="text1"/>
          <w:kern w:val="0"/>
          <w:szCs w:val="21"/>
          <w:highlight w:val="none"/>
          <w14:textFill>
            <w14:solidFill>
              <w14:schemeClr w14:val="tx1"/>
            </w14:solidFill>
          </w14:textFill>
        </w:rPr>
        <w:t>依据加州大学河滨分校的访学学生接收能力，我校</w:t>
      </w:r>
      <w:r>
        <w:rPr>
          <w:rFonts w:hint="eastAsia" w:ascii="Calibri" w:hAnsi="Calibri" w:cs="Calibri"/>
          <w:color w:val="000000" w:themeColor="text1"/>
          <w:szCs w:val="21"/>
          <w:highlight w:val="none"/>
          <w14:textFill>
            <w14:solidFill>
              <w14:schemeClr w14:val="tx1"/>
            </w14:solidFill>
          </w14:textFill>
        </w:rPr>
        <w:t>2018年春季选拔名额为</w:t>
      </w:r>
      <w:r>
        <w:rPr>
          <w:rFonts w:hint="eastAsia" w:ascii="Calibri" w:hAnsi="Calibri" w:cs="Calibri"/>
          <w:color w:val="000000" w:themeColor="text1"/>
          <w:szCs w:val="21"/>
          <w:highlight w:val="none"/>
          <w:lang w:val="en-US" w:eastAsia="zh-CN"/>
          <w14:textFill>
            <w14:solidFill>
              <w14:schemeClr w14:val="tx1"/>
            </w14:solidFill>
          </w14:textFill>
        </w:rPr>
        <w:t>3名</w:t>
      </w:r>
      <w:r>
        <w:rPr>
          <w:rFonts w:hint="eastAsia" w:ascii="Calibri" w:hAnsi="Calibri" w:cs="Calibri"/>
          <w:b/>
          <w:bCs/>
          <w:color w:val="000000" w:themeColor="text1"/>
          <w:szCs w:val="21"/>
          <w:highlight w:val="none"/>
          <w:lang w:val="en-US" w:eastAsia="zh-CN"/>
          <w14:textFill>
            <w14:solidFill>
              <w14:schemeClr w14:val="tx1"/>
            </w14:solidFill>
          </w14:textFill>
        </w:rPr>
        <w:t>。</w:t>
      </w:r>
    </w:p>
    <w:p>
      <w:pPr>
        <w:pStyle w:val="16"/>
        <w:spacing w:line="360" w:lineRule="auto"/>
        <w:ind w:left="0" w:leftChars="0" w:firstLine="0" w:firstLineChars="0"/>
        <w:rPr>
          <w:rFonts w:asciiTheme="minorHAnsi" w:hAnsiTheme="minorHAnsi" w:eastAsiaTheme="majorEastAsia" w:cstheme="minorHAnsi"/>
          <w:b/>
          <w:color w:val="000000" w:themeColor="text1"/>
          <w:kern w:val="0"/>
          <w:szCs w:val="21"/>
          <w:highlight w:val="none"/>
          <w14:textFill>
            <w14:solidFill>
              <w14:schemeClr w14:val="tx1"/>
            </w14:solidFill>
          </w14:textFill>
        </w:rPr>
      </w:pPr>
      <w:r>
        <w:rPr>
          <w:rFonts w:hint="eastAsia" w:asciiTheme="minorHAnsi" w:hAnsiTheme="minorHAnsi" w:eastAsiaTheme="majorEastAsia" w:cstheme="minorHAnsi"/>
          <w:b/>
          <w:color w:val="000000" w:themeColor="text1"/>
          <w:kern w:val="0"/>
          <w:szCs w:val="21"/>
          <w:highlight w:val="none"/>
          <w:lang w:val="en-US" w:eastAsia="zh-CN"/>
          <w14:textFill>
            <w14:solidFill>
              <w14:schemeClr w14:val="tx1"/>
            </w14:solidFill>
          </w14:textFill>
        </w:rPr>
        <w:t xml:space="preserve">2、 </w:t>
      </w:r>
      <w:r>
        <w:rPr>
          <w:rFonts w:asciiTheme="minorHAnsi" w:hAnsiTheme="minorHAnsi" w:eastAsiaTheme="majorEastAsia" w:cstheme="minorHAnsi"/>
          <w:b/>
          <w:color w:val="000000" w:themeColor="text1"/>
          <w:kern w:val="0"/>
          <w:szCs w:val="21"/>
          <w:highlight w:val="none"/>
          <w14:textFill>
            <w14:solidFill>
              <w14:schemeClr w14:val="tx1"/>
            </w14:solidFill>
          </w14:textFill>
        </w:rPr>
        <w:t>选拔要求</w:t>
      </w:r>
    </w:p>
    <w:p>
      <w:pPr>
        <w:pStyle w:val="16"/>
        <w:numPr>
          <w:ilvl w:val="0"/>
          <w:numId w:val="3"/>
        </w:numPr>
        <w:spacing w:line="360" w:lineRule="auto"/>
        <w:ind w:firstLineChars="0"/>
        <w:rPr>
          <w:rFonts w:asciiTheme="minorHAnsi" w:hAnsiTheme="minorHAnsi" w:eastAsiaTheme="majorEastAsia" w:cstheme="minorHAnsi"/>
          <w:color w:val="000000" w:themeColor="text1"/>
          <w:szCs w:val="21"/>
          <w:highlight w:val="none"/>
          <w14:textFill>
            <w14:solidFill>
              <w14:schemeClr w14:val="tx1"/>
            </w14:solidFill>
          </w14:textFill>
        </w:rPr>
      </w:pPr>
      <w:r>
        <w:rPr>
          <w:rFonts w:asciiTheme="minorHAnsi" w:hAnsiTheme="minorHAnsi" w:eastAsiaTheme="majorEastAsia" w:cstheme="minorHAnsi"/>
          <w:color w:val="000000" w:themeColor="text1"/>
          <w:szCs w:val="21"/>
          <w:highlight w:val="none"/>
          <w14:textFill>
            <w14:solidFill>
              <w14:schemeClr w14:val="tx1"/>
            </w14:solidFill>
          </w14:textFill>
        </w:rPr>
        <w:t>仅限本校</w:t>
      </w:r>
      <w:r>
        <w:rPr>
          <w:rFonts w:hint="eastAsia" w:asciiTheme="minorHAnsi" w:hAnsiTheme="minorHAnsi" w:eastAsiaTheme="majorEastAsia" w:cstheme="minorHAnsi"/>
          <w:color w:val="000000" w:themeColor="text1"/>
          <w:szCs w:val="21"/>
          <w:highlight w:val="none"/>
          <w14:textFill>
            <w14:solidFill>
              <w14:schemeClr w14:val="tx1"/>
            </w14:solidFill>
          </w14:textFill>
        </w:rPr>
        <w:t>全日制本科生，至少完成大一课程，成绩优异、道德品质好，在校期间未受过纪律处分，身心健康，能顺利完成在美学习任务；</w:t>
      </w:r>
    </w:p>
    <w:p>
      <w:pPr>
        <w:pStyle w:val="16"/>
        <w:numPr>
          <w:ilvl w:val="0"/>
          <w:numId w:val="3"/>
        </w:numPr>
        <w:spacing w:line="360" w:lineRule="auto"/>
        <w:ind w:firstLineChars="0"/>
        <w:rPr>
          <w:rFonts w:asciiTheme="minorHAnsi" w:hAnsiTheme="minorHAnsi" w:eastAsiaTheme="majorEastAsia" w:cstheme="minorHAnsi"/>
          <w:color w:val="000000" w:themeColor="text1"/>
          <w:szCs w:val="21"/>
          <w:highlight w:val="none"/>
          <w14:textFill>
            <w14:solidFill>
              <w14:schemeClr w14:val="tx1"/>
            </w14:solidFill>
          </w14:textFill>
        </w:rPr>
      </w:pPr>
      <w:r>
        <w:rPr>
          <w:rFonts w:hint="eastAsia" w:asciiTheme="minorHAnsi" w:hAnsiTheme="minorHAnsi" w:eastAsiaTheme="majorEastAsia" w:cstheme="minorHAnsi"/>
          <w:color w:val="000000" w:themeColor="text1"/>
          <w:szCs w:val="21"/>
          <w:highlight w:val="none"/>
          <w14:textFill>
            <w14:solidFill>
              <w14:schemeClr w14:val="tx1"/>
            </w14:solidFill>
          </w14:textFill>
        </w:rPr>
        <w:t xml:space="preserve">学术要求 </w:t>
      </w:r>
    </w:p>
    <w:p>
      <w:pPr>
        <w:pStyle w:val="16"/>
        <w:numPr>
          <w:ilvl w:val="0"/>
          <w:numId w:val="4"/>
        </w:numPr>
        <w:spacing w:line="360" w:lineRule="auto"/>
        <w:ind w:firstLineChars="0"/>
        <w:rPr>
          <w:rFonts w:asciiTheme="minorHAnsi" w:hAnsiTheme="minorHAnsi" w:eastAsiaTheme="majorEastAsia" w:cstheme="minorHAnsi"/>
          <w:color w:val="000000" w:themeColor="text1"/>
          <w:szCs w:val="21"/>
          <w:highlight w:val="none"/>
          <w14:textFill>
            <w14:solidFill>
              <w14:schemeClr w14:val="tx1"/>
            </w14:solidFill>
          </w14:textFill>
        </w:rPr>
      </w:pPr>
      <w:r>
        <w:rPr>
          <w:rFonts w:hint="eastAsia" w:asciiTheme="minorHAnsi" w:hAnsiTheme="minorHAnsi" w:eastAsiaTheme="majorEastAsia" w:cstheme="minorHAnsi"/>
          <w:color w:val="000000" w:themeColor="text1"/>
          <w:szCs w:val="21"/>
          <w:highlight w:val="none"/>
          <w:u w:val="single"/>
          <w14:textFill>
            <w14:solidFill>
              <w14:schemeClr w14:val="tx1"/>
            </w14:solidFill>
          </w14:textFill>
        </w:rPr>
        <w:t>获得TESOL证书要求</w:t>
      </w:r>
      <w:r>
        <w:rPr>
          <w:rFonts w:hint="eastAsia" w:asciiTheme="minorHAnsi" w:hAnsiTheme="minorHAnsi" w:eastAsiaTheme="majorEastAsia" w:cstheme="minorHAnsi"/>
          <w:color w:val="000000" w:themeColor="text1"/>
          <w:szCs w:val="21"/>
          <w:highlight w:val="none"/>
          <w14:textFill>
            <w14:solidFill>
              <w14:schemeClr w14:val="tx1"/>
            </w14:solidFill>
          </w14:textFill>
        </w:rPr>
        <w:t>：托福80分、口语不低于23分；或雅思6.5分、口语不低于6.0分，且通过学期考核；</w:t>
      </w:r>
    </w:p>
    <w:p>
      <w:pPr>
        <w:pStyle w:val="16"/>
        <w:numPr>
          <w:ilvl w:val="0"/>
          <w:numId w:val="4"/>
        </w:numPr>
        <w:spacing w:line="360" w:lineRule="auto"/>
        <w:ind w:firstLineChars="0"/>
        <w:rPr>
          <w:rFonts w:asciiTheme="minorHAnsi" w:hAnsiTheme="minorHAnsi" w:eastAsiaTheme="majorEastAsia" w:cstheme="minorHAnsi"/>
          <w:color w:val="000000" w:themeColor="text1"/>
          <w:szCs w:val="21"/>
          <w:highlight w:val="none"/>
          <w14:textFill>
            <w14:solidFill>
              <w14:schemeClr w14:val="tx1"/>
            </w14:solidFill>
          </w14:textFill>
        </w:rPr>
      </w:pPr>
      <w:r>
        <w:rPr>
          <w:rFonts w:hint="eastAsia" w:asciiTheme="minorHAnsi" w:hAnsiTheme="minorHAnsi" w:eastAsiaTheme="majorEastAsia" w:cstheme="minorHAnsi"/>
          <w:color w:val="000000" w:themeColor="text1"/>
          <w:szCs w:val="21"/>
          <w:highlight w:val="none"/>
          <w:u w:val="single"/>
          <w14:textFill>
            <w14:solidFill>
              <w14:schemeClr w14:val="tx1"/>
            </w14:solidFill>
          </w14:textFill>
        </w:rPr>
        <w:t>获得研究生录取最低要求</w:t>
      </w:r>
      <w:r>
        <w:rPr>
          <w:rFonts w:hint="eastAsia" w:asciiTheme="minorHAnsi" w:hAnsiTheme="minorHAnsi" w:eastAsiaTheme="majorEastAsia" w:cstheme="minorHAnsi"/>
          <w:color w:val="000000" w:themeColor="text1"/>
          <w:szCs w:val="21"/>
          <w:highlight w:val="none"/>
          <w14:textFill>
            <w14:solidFill>
              <w14:schemeClr w14:val="tx1"/>
            </w14:solidFill>
          </w14:textFill>
        </w:rPr>
        <w:t>：获得TESOL证书、GPA3.0、语言达到学校要求。</w:t>
      </w:r>
    </w:p>
    <w:p>
      <w:pPr>
        <w:pStyle w:val="16"/>
        <w:numPr>
          <w:ilvl w:val="0"/>
          <w:numId w:val="3"/>
        </w:numPr>
        <w:spacing w:line="360" w:lineRule="auto"/>
        <w:ind w:firstLineChars="0"/>
        <w:rPr>
          <w:rFonts w:asciiTheme="minorHAnsi" w:hAnsiTheme="minorHAnsi" w:eastAsiaTheme="majorEastAsia" w:cstheme="minorHAnsi"/>
          <w:color w:val="000000" w:themeColor="text1"/>
          <w:szCs w:val="21"/>
          <w:highlight w:val="none"/>
          <w14:textFill>
            <w14:solidFill>
              <w14:schemeClr w14:val="tx1"/>
            </w14:solidFill>
          </w14:textFill>
        </w:rPr>
      </w:pPr>
      <w:r>
        <w:rPr>
          <w:rFonts w:hint="eastAsia" w:asciiTheme="minorHAnsi" w:hAnsiTheme="minorHAnsi" w:eastAsiaTheme="majorEastAsia" w:cstheme="minorHAnsi"/>
          <w:color w:val="000000" w:themeColor="text1"/>
          <w:szCs w:val="21"/>
          <w:highlight w:val="none"/>
          <w14:textFill>
            <w14:solidFill>
              <w14:schemeClr w14:val="tx1"/>
            </w14:solidFill>
          </w14:textFill>
        </w:rPr>
        <w:t>家庭具有一定经济基础，能够提供访学所需学费及生活费；</w:t>
      </w:r>
    </w:p>
    <w:p>
      <w:pPr>
        <w:pStyle w:val="16"/>
        <w:numPr>
          <w:ilvl w:val="0"/>
          <w:numId w:val="3"/>
        </w:numPr>
        <w:spacing w:line="360" w:lineRule="auto"/>
        <w:ind w:firstLineChars="0"/>
        <w:rPr>
          <w:rFonts w:asciiTheme="minorHAnsi" w:hAnsiTheme="minorHAnsi" w:eastAsiaTheme="majorEastAsia" w:cstheme="minorHAnsi"/>
          <w:color w:val="000000" w:themeColor="text1"/>
          <w:szCs w:val="21"/>
          <w:highlight w:val="none"/>
          <w14:textFill>
            <w14:solidFill>
              <w14:schemeClr w14:val="tx1"/>
            </w14:solidFill>
          </w14:textFill>
        </w:rPr>
      </w:pPr>
      <w:r>
        <w:rPr>
          <w:rFonts w:hint="eastAsia" w:asciiTheme="minorHAnsi" w:hAnsiTheme="minorHAnsi" w:eastAsiaTheme="majorEastAsia" w:cstheme="minorHAnsi"/>
          <w:color w:val="000000" w:themeColor="text1"/>
          <w:szCs w:val="21"/>
          <w:highlight w:val="none"/>
          <w14:textFill>
            <w14:solidFill>
              <w14:schemeClr w14:val="tx1"/>
            </w14:solidFill>
          </w14:textFill>
        </w:rPr>
        <w:t>通过全美国际教育协会的项目面试、加州大学河滨分校的学术审核、以及我校院系及</w:t>
      </w:r>
    </w:p>
    <w:p>
      <w:pPr>
        <w:pStyle w:val="16"/>
        <w:spacing w:line="360" w:lineRule="auto"/>
        <w:ind w:left="570" w:firstLine="0" w:firstLineChars="0"/>
        <w:rPr>
          <w:rFonts w:asciiTheme="minorHAnsi" w:hAnsiTheme="minorHAnsi" w:eastAsiaTheme="majorEastAsia" w:cstheme="minorHAnsi"/>
          <w:color w:val="000000" w:themeColor="text1"/>
          <w:szCs w:val="21"/>
          <w:highlight w:val="none"/>
          <w14:textFill>
            <w14:solidFill>
              <w14:schemeClr w14:val="tx1"/>
            </w14:solidFill>
          </w14:textFill>
        </w:rPr>
      </w:pPr>
      <w:r>
        <w:rPr>
          <w:rFonts w:hint="eastAsia" w:asciiTheme="minorHAnsi" w:hAnsiTheme="minorHAnsi" w:eastAsiaTheme="majorEastAsia" w:cstheme="minorHAnsi"/>
          <w:color w:val="000000" w:themeColor="text1"/>
          <w:szCs w:val="21"/>
          <w:highlight w:val="none"/>
          <w14:textFill>
            <w14:solidFill>
              <w14:schemeClr w14:val="tx1"/>
            </w14:solidFill>
          </w14:textFill>
        </w:rPr>
        <w:t>国际交流处的派出资格审核</w:t>
      </w:r>
      <w:r>
        <w:rPr>
          <w:rFonts w:asciiTheme="minorHAnsi" w:hAnsiTheme="minorHAnsi" w:eastAsiaTheme="majorEastAsia" w:cstheme="minorHAnsi"/>
          <w:color w:val="000000" w:themeColor="text1"/>
          <w:szCs w:val="21"/>
          <w:highlight w:val="none"/>
          <w14:textFill>
            <w14:solidFill>
              <w14:schemeClr w14:val="tx1"/>
            </w14:solidFill>
          </w14:textFill>
        </w:rPr>
        <w:t>。</w:t>
      </w:r>
    </w:p>
    <w:p>
      <w:pPr>
        <w:pStyle w:val="16"/>
        <w:spacing w:line="360" w:lineRule="auto"/>
        <w:ind w:left="570" w:firstLine="0" w:firstLineChars="0"/>
        <w:rPr>
          <w:rFonts w:asciiTheme="minorHAnsi" w:hAnsiTheme="minorHAnsi" w:eastAsiaTheme="majorEastAsia" w:cstheme="minorHAnsi"/>
          <w:color w:val="000000" w:themeColor="text1"/>
          <w:szCs w:val="21"/>
          <w:highlight w:val="none"/>
          <w14:textFill>
            <w14:solidFill>
              <w14:schemeClr w14:val="tx1"/>
            </w14:solidFill>
          </w14:textFill>
        </w:rPr>
      </w:pPr>
    </w:p>
    <w:p>
      <w:pPr>
        <w:widowControl/>
        <w:spacing w:line="360" w:lineRule="auto"/>
        <w:jc w:val="left"/>
        <w:rPr>
          <w:rFonts w:ascii="宋体" w:hAnsi="宋体" w:cs="宋体"/>
          <w:color w:val="000000" w:themeColor="text1"/>
          <w:kern w:val="0"/>
          <w:szCs w:val="21"/>
          <w:highlight w:val="none"/>
          <w14:textFill>
            <w14:solidFill>
              <w14:schemeClr w14:val="tx1"/>
            </w14:solidFill>
          </w14:textFill>
        </w:rPr>
      </w:pPr>
      <w:bookmarkStart w:id="0" w:name="_GoBack"/>
      <w:bookmarkEnd w:id="0"/>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swiss"/>
    <w:pitch w:val="default"/>
    <w:sig w:usb0="80000287" w:usb1="28C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715A1"/>
    <w:multiLevelType w:val="multilevel"/>
    <w:tmpl w:val="0CA715A1"/>
    <w:lvl w:ilvl="0" w:tentative="0">
      <w:start w:val="3"/>
      <w:numFmt w:val="bullet"/>
      <w:lvlText w:val="-"/>
      <w:lvlJc w:val="left"/>
      <w:pPr>
        <w:ind w:left="930" w:hanging="360"/>
      </w:pPr>
      <w:rPr>
        <w:rFonts w:hint="default" w:ascii="Calibri" w:hAnsi="Calibri" w:eastAsiaTheme="majorEastAsia" w:cstheme="minorHAnsi"/>
      </w:rPr>
    </w:lvl>
    <w:lvl w:ilvl="1" w:tentative="0">
      <w:start w:val="1"/>
      <w:numFmt w:val="bullet"/>
      <w:lvlText w:val=""/>
      <w:lvlJc w:val="left"/>
      <w:pPr>
        <w:ind w:left="1410" w:hanging="420"/>
      </w:pPr>
      <w:rPr>
        <w:rFonts w:hint="default" w:ascii="Wingdings" w:hAnsi="Wingdings"/>
      </w:rPr>
    </w:lvl>
    <w:lvl w:ilvl="2" w:tentative="0">
      <w:start w:val="1"/>
      <w:numFmt w:val="bullet"/>
      <w:lvlText w:val=""/>
      <w:lvlJc w:val="left"/>
      <w:pPr>
        <w:ind w:left="1830" w:hanging="420"/>
      </w:pPr>
      <w:rPr>
        <w:rFonts w:hint="default" w:ascii="Wingdings" w:hAnsi="Wingdings"/>
      </w:rPr>
    </w:lvl>
    <w:lvl w:ilvl="3" w:tentative="0">
      <w:start w:val="1"/>
      <w:numFmt w:val="bullet"/>
      <w:lvlText w:val=""/>
      <w:lvlJc w:val="left"/>
      <w:pPr>
        <w:ind w:left="2250" w:hanging="420"/>
      </w:pPr>
      <w:rPr>
        <w:rFonts w:hint="default" w:ascii="Wingdings" w:hAnsi="Wingdings"/>
      </w:rPr>
    </w:lvl>
    <w:lvl w:ilvl="4" w:tentative="0">
      <w:start w:val="1"/>
      <w:numFmt w:val="bullet"/>
      <w:lvlText w:val=""/>
      <w:lvlJc w:val="left"/>
      <w:pPr>
        <w:ind w:left="2670" w:hanging="420"/>
      </w:pPr>
      <w:rPr>
        <w:rFonts w:hint="default" w:ascii="Wingdings" w:hAnsi="Wingdings"/>
      </w:rPr>
    </w:lvl>
    <w:lvl w:ilvl="5" w:tentative="0">
      <w:start w:val="1"/>
      <w:numFmt w:val="bullet"/>
      <w:lvlText w:val=""/>
      <w:lvlJc w:val="left"/>
      <w:pPr>
        <w:ind w:left="3090" w:hanging="420"/>
      </w:pPr>
      <w:rPr>
        <w:rFonts w:hint="default" w:ascii="Wingdings" w:hAnsi="Wingdings"/>
      </w:rPr>
    </w:lvl>
    <w:lvl w:ilvl="6" w:tentative="0">
      <w:start w:val="1"/>
      <w:numFmt w:val="bullet"/>
      <w:lvlText w:val=""/>
      <w:lvlJc w:val="left"/>
      <w:pPr>
        <w:ind w:left="3510" w:hanging="420"/>
      </w:pPr>
      <w:rPr>
        <w:rFonts w:hint="default" w:ascii="Wingdings" w:hAnsi="Wingdings"/>
      </w:rPr>
    </w:lvl>
    <w:lvl w:ilvl="7" w:tentative="0">
      <w:start w:val="1"/>
      <w:numFmt w:val="bullet"/>
      <w:lvlText w:val=""/>
      <w:lvlJc w:val="left"/>
      <w:pPr>
        <w:ind w:left="3930" w:hanging="420"/>
      </w:pPr>
      <w:rPr>
        <w:rFonts w:hint="default" w:ascii="Wingdings" w:hAnsi="Wingdings"/>
      </w:rPr>
    </w:lvl>
    <w:lvl w:ilvl="8" w:tentative="0">
      <w:start w:val="1"/>
      <w:numFmt w:val="bullet"/>
      <w:lvlText w:val=""/>
      <w:lvlJc w:val="left"/>
      <w:pPr>
        <w:ind w:left="4350" w:hanging="420"/>
      </w:pPr>
      <w:rPr>
        <w:rFonts w:hint="default" w:ascii="Wingdings" w:hAnsi="Wingdings"/>
      </w:rPr>
    </w:lvl>
  </w:abstractNum>
  <w:abstractNum w:abstractNumId="1">
    <w:nsid w:val="61B36ACD"/>
    <w:multiLevelType w:val="multilevel"/>
    <w:tmpl w:val="61B36ACD"/>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
    <w:nsid w:val="77F013D8"/>
    <w:multiLevelType w:val="multilevel"/>
    <w:tmpl w:val="77F01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A804196"/>
    <w:multiLevelType w:val="multilevel"/>
    <w:tmpl w:val="7A804196"/>
    <w:lvl w:ilvl="0" w:tentative="0">
      <w:start w:val="1"/>
      <w:numFmt w:val="japaneseCounting"/>
      <w:lvlText w:val="%1、"/>
      <w:lvlJc w:val="left"/>
      <w:pPr>
        <w:ind w:left="510" w:hanging="51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8F"/>
    <w:rsid w:val="00000A4F"/>
    <w:rsid w:val="000035D7"/>
    <w:rsid w:val="00010F31"/>
    <w:rsid w:val="00015540"/>
    <w:rsid w:val="000169DD"/>
    <w:rsid w:val="00022AFD"/>
    <w:rsid w:val="000230BD"/>
    <w:rsid w:val="000236D2"/>
    <w:rsid w:val="00024C64"/>
    <w:rsid w:val="00027223"/>
    <w:rsid w:val="0003068E"/>
    <w:rsid w:val="00030A02"/>
    <w:rsid w:val="00030E1E"/>
    <w:rsid w:val="00031403"/>
    <w:rsid w:val="000362BD"/>
    <w:rsid w:val="000402B0"/>
    <w:rsid w:val="00041148"/>
    <w:rsid w:val="00041BDA"/>
    <w:rsid w:val="000519A2"/>
    <w:rsid w:val="0005389A"/>
    <w:rsid w:val="0006181E"/>
    <w:rsid w:val="00063779"/>
    <w:rsid w:val="00065242"/>
    <w:rsid w:val="00074CFD"/>
    <w:rsid w:val="000820F9"/>
    <w:rsid w:val="0009206E"/>
    <w:rsid w:val="000A0A86"/>
    <w:rsid w:val="000A2A22"/>
    <w:rsid w:val="000A4030"/>
    <w:rsid w:val="000A5251"/>
    <w:rsid w:val="000B1A29"/>
    <w:rsid w:val="000C0FA9"/>
    <w:rsid w:val="000C3F5B"/>
    <w:rsid w:val="000C4E56"/>
    <w:rsid w:val="000C5C18"/>
    <w:rsid w:val="000C7F9A"/>
    <w:rsid w:val="000E1209"/>
    <w:rsid w:val="000F1275"/>
    <w:rsid w:val="000F168E"/>
    <w:rsid w:val="001013E1"/>
    <w:rsid w:val="0010196F"/>
    <w:rsid w:val="001051AF"/>
    <w:rsid w:val="00106BA3"/>
    <w:rsid w:val="00110B1F"/>
    <w:rsid w:val="00110EDA"/>
    <w:rsid w:val="00112EFC"/>
    <w:rsid w:val="001131EA"/>
    <w:rsid w:val="001158A2"/>
    <w:rsid w:val="001168AB"/>
    <w:rsid w:val="00116E3B"/>
    <w:rsid w:val="00116EF3"/>
    <w:rsid w:val="00120A5E"/>
    <w:rsid w:val="0012340B"/>
    <w:rsid w:val="0012488E"/>
    <w:rsid w:val="00124B0D"/>
    <w:rsid w:val="00127FE8"/>
    <w:rsid w:val="001312C7"/>
    <w:rsid w:val="00134011"/>
    <w:rsid w:val="00135F93"/>
    <w:rsid w:val="00146AB9"/>
    <w:rsid w:val="001477B5"/>
    <w:rsid w:val="00166C7D"/>
    <w:rsid w:val="00167799"/>
    <w:rsid w:val="001738F0"/>
    <w:rsid w:val="00176F21"/>
    <w:rsid w:val="00182E04"/>
    <w:rsid w:val="001834A2"/>
    <w:rsid w:val="00186190"/>
    <w:rsid w:val="00187E52"/>
    <w:rsid w:val="00192C0F"/>
    <w:rsid w:val="001A0C7A"/>
    <w:rsid w:val="001A281F"/>
    <w:rsid w:val="001A42A6"/>
    <w:rsid w:val="001A7D56"/>
    <w:rsid w:val="001B0CD3"/>
    <w:rsid w:val="001B1730"/>
    <w:rsid w:val="001B34FC"/>
    <w:rsid w:val="001C1A51"/>
    <w:rsid w:val="001C6985"/>
    <w:rsid w:val="001D1C58"/>
    <w:rsid w:val="001D4042"/>
    <w:rsid w:val="001D4EF4"/>
    <w:rsid w:val="001D7E86"/>
    <w:rsid w:val="001E31D7"/>
    <w:rsid w:val="001E5D98"/>
    <w:rsid w:val="001F5524"/>
    <w:rsid w:val="00202030"/>
    <w:rsid w:val="00203BFF"/>
    <w:rsid w:val="002133F2"/>
    <w:rsid w:val="002138BE"/>
    <w:rsid w:val="0021711E"/>
    <w:rsid w:val="00220E2D"/>
    <w:rsid w:val="0022214B"/>
    <w:rsid w:val="002274D9"/>
    <w:rsid w:val="002441C6"/>
    <w:rsid w:val="002449A1"/>
    <w:rsid w:val="0025121E"/>
    <w:rsid w:val="00251642"/>
    <w:rsid w:val="00255140"/>
    <w:rsid w:val="00261406"/>
    <w:rsid w:val="00261C11"/>
    <w:rsid w:val="00264008"/>
    <w:rsid w:val="00271BCB"/>
    <w:rsid w:val="0027305D"/>
    <w:rsid w:val="00275270"/>
    <w:rsid w:val="00277ADE"/>
    <w:rsid w:val="0028056A"/>
    <w:rsid w:val="002850BF"/>
    <w:rsid w:val="002852EE"/>
    <w:rsid w:val="0029179F"/>
    <w:rsid w:val="00292326"/>
    <w:rsid w:val="00295361"/>
    <w:rsid w:val="00296348"/>
    <w:rsid w:val="00297E1A"/>
    <w:rsid w:val="002A402F"/>
    <w:rsid w:val="002B61DD"/>
    <w:rsid w:val="002B7076"/>
    <w:rsid w:val="002C0D71"/>
    <w:rsid w:val="002C2028"/>
    <w:rsid w:val="002C229B"/>
    <w:rsid w:val="002C27D4"/>
    <w:rsid w:val="002C2F24"/>
    <w:rsid w:val="002C6AEB"/>
    <w:rsid w:val="002C722D"/>
    <w:rsid w:val="002D04D0"/>
    <w:rsid w:val="002D76B2"/>
    <w:rsid w:val="002E1476"/>
    <w:rsid w:val="002E3299"/>
    <w:rsid w:val="002E4985"/>
    <w:rsid w:val="002E64CC"/>
    <w:rsid w:val="002F1A53"/>
    <w:rsid w:val="002F3568"/>
    <w:rsid w:val="002F48B2"/>
    <w:rsid w:val="002F4C3C"/>
    <w:rsid w:val="002F7AB9"/>
    <w:rsid w:val="0030157A"/>
    <w:rsid w:val="00302995"/>
    <w:rsid w:val="00303D3D"/>
    <w:rsid w:val="0031712B"/>
    <w:rsid w:val="00321717"/>
    <w:rsid w:val="00321D5F"/>
    <w:rsid w:val="00341B01"/>
    <w:rsid w:val="00342D9D"/>
    <w:rsid w:val="00342E7E"/>
    <w:rsid w:val="003738EA"/>
    <w:rsid w:val="00375491"/>
    <w:rsid w:val="003822A8"/>
    <w:rsid w:val="00383DCC"/>
    <w:rsid w:val="00386A4E"/>
    <w:rsid w:val="00386C51"/>
    <w:rsid w:val="00387362"/>
    <w:rsid w:val="00390FCA"/>
    <w:rsid w:val="00394A95"/>
    <w:rsid w:val="00396306"/>
    <w:rsid w:val="00397742"/>
    <w:rsid w:val="003A65B4"/>
    <w:rsid w:val="003B669C"/>
    <w:rsid w:val="003B786E"/>
    <w:rsid w:val="003C6EF7"/>
    <w:rsid w:val="003D0FE9"/>
    <w:rsid w:val="003D2BCE"/>
    <w:rsid w:val="003D4037"/>
    <w:rsid w:val="003D4529"/>
    <w:rsid w:val="003D4B46"/>
    <w:rsid w:val="003D5F48"/>
    <w:rsid w:val="003E01B3"/>
    <w:rsid w:val="003E3199"/>
    <w:rsid w:val="003F050A"/>
    <w:rsid w:val="003F059B"/>
    <w:rsid w:val="003F50D1"/>
    <w:rsid w:val="003F5F88"/>
    <w:rsid w:val="00402C31"/>
    <w:rsid w:val="004040A0"/>
    <w:rsid w:val="0041273F"/>
    <w:rsid w:val="0041535C"/>
    <w:rsid w:val="00425129"/>
    <w:rsid w:val="00426325"/>
    <w:rsid w:val="00437A33"/>
    <w:rsid w:val="0045270B"/>
    <w:rsid w:val="00453A93"/>
    <w:rsid w:val="00454C45"/>
    <w:rsid w:val="004624BE"/>
    <w:rsid w:val="00465A92"/>
    <w:rsid w:val="004679CE"/>
    <w:rsid w:val="00470270"/>
    <w:rsid w:val="00471CBF"/>
    <w:rsid w:val="00485AD1"/>
    <w:rsid w:val="0048674F"/>
    <w:rsid w:val="004932B6"/>
    <w:rsid w:val="004946E0"/>
    <w:rsid w:val="00495E6D"/>
    <w:rsid w:val="004A1602"/>
    <w:rsid w:val="004B4D89"/>
    <w:rsid w:val="004B50DF"/>
    <w:rsid w:val="004B516E"/>
    <w:rsid w:val="004C03C7"/>
    <w:rsid w:val="004C0E26"/>
    <w:rsid w:val="004C343D"/>
    <w:rsid w:val="004C5277"/>
    <w:rsid w:val="004C6632"/>
    <w:rsid w:val="004D3884"/>
    <w:rsid w:val="004D5BBA"/>
    <w:rsid w:val="004D782F"/>
    <w:rsid w:val="004E0748"/>
    <w:rsid w:val="004E0FD9"/>
    <w:rsid w:val="004E728E"/>
    <w:rsid w:val="004F0AAB"/>
    <w:rsid w:val="004F743F"/>
    <w:rsid w:val="004F7C1B"/>
    <w:rsid w:val="00500A8F"/>
    <w:rsid w:val="005060F9"/>
    <w:rsid w:val="00512BAE"/>
    <w:rsid w:val="00522EAE"/>
    <w:rsid w:val="00525703"/>
    <w:rsid w:val="005326B5"/>
    <w:rsid w:val="005339BB"/>
    <w:rsid w:val="00536F45"/>
    <w:rsid w:val="00537EE6"/>
    <w:rsid w:val="00547E75"/>
    <w:rsid w:val="00555016"/>
    <w:rsid w:val="00556212"/>
    <w:rsid w:val="0057138A"/>
    <w:rsid w:val="00572B6E"/>
    <w:rsid w:val="005762B0"/>
    <w:rsid w:val="00584716"/>
    <w:rsid w:val="005849E3"/>
    <w:rsid w:val="00584E4F"/>
    <w:rsid w:val="00584E6C"/>
    <w:rsid w:val="00586D6C"/>
    <w:rsid w:val="00587D18"/>
    <w:rsid w:val="005935A6"/>
    <w:rsid w:val="00596D1A"/>
    <w:rsid w:val="005A31F5"/>
    <w:rsid w:val="005A65C8"/>
    <w:rsid w:val="005B06D8"/>
    <w:rsid w:val="005B69C2"/>
    <w:rsid w:val="005C27A1"/>
    <w:rsid w:val="005C5B15"/>
    <w:rsid w:val="005C68E5"/>
    <w:rsid w:val="005C7CC0"/>
    <w:rsid w:val="005D0683"/>
    <w:rsid w:val="005D4611"/>
    <w:rsid w:val="005E5A41"/>
    <w:rsid w:val="005E674A"/>
    <w:rsid w:val="005E6E17"/>
    <w:rsid w:val="005F6112"/>
    <w:rsid w:val="00606AA2"/>
    <w:rsid w:val="00606C4F"/>
    <w:rsid w:val="00617A76"/>
    <w:rsid w:val="00621ED0"/>
    <w:rsid w:val="00622238"/>
    <w:rsid w:val="00624BB2"/>
    <w:rsid w:val="00626FBA"/>
    <w:rsid w:val="00632329"/>
    <w:rsid w:val="0063383B"/>
    <w:rsid w:val="00637AD1"/>
    <w:rsid w:val="006452B3"/>
    <w:rsid w:val="006460C0"/>
    <w:rsid w:val="0066028B"/>
    <w:rsid w:val="00663035"/>
    <w:rsid w:val="00664055"/>
    <w:rsid w:val="00666CF9"/>
    <w:rsid w:val="00667457"/>
    <w:rsid w:val="00667A61"/>
    <w:rsid w:val="0067014C"/>
    <w:rsid w:val="00670E25"/>
    <w:rsid w:val="00670ED6"/>
    <w:rsid w:val="0067541F"/>
    <w:rsid w:val="006858D5"/>
    <w:rsid w:val="00687DBB"/>
    <w:rsid w:val="00696B1C"/>
    <w:rsid w:val="006A2B5F"/>
    <w:rsid w:val="006A4002"/>
    <w:rsid w:val="006A72B8"/>
    <w:rsid w:val="006A7FCE"/>
    <w:rsid w:val="006B0F33"/>
    <w:rsid w:val="006B4D31"/>
    <w:rsid w:val="006C2070"/>
    <w:rsid w:val="006D46D1"/>
    <w:rsid w:val="006D5B15"/>
    <w:rsid w:val="006D642C"/>
    <w:rsid w:val="006E2C4A"/>
    <w:rsid w:val="006F3E35"/>
    <w:rsid w:val="00700EA9"/>
    <w:rsid w:val="0070255A"/>
    <w:rsid w:val="00705BEF"/>
    <w:rsid w:val="00706179"/>
    <w:rsid w:val="007113DD"/>
    <w:rsid w:val="0071430B"/>
    <w:rsid w:val="00720659"/>
    <w:rsid w:val="0072201D"/>
    <w:rsid w:val="00733292"/>
    <w:rsid w:val="007336A9"/>
    <w:rsid w:val="0073653C"/>
    <w:rsid w:val="007423FD"/>
    <w:rsid w:val="00744FE2"/>
    <w:rsid w:val="00750E8F"/>
    <w:rsid w:val="007619AD"/>
    <w:rsid w:val="00762330"/>
    <w:rsid w:val="00765A6C"/>
    <w:rsid w:val="00770616"/>
    <w:rsid w:val="00772E22"/>
    <w:rsid w:val="00775505"/>
    <w:rsid w:val="00776AE1"/>
    <w:rsid w:val="00781391"/>
    <w:rsid w:val="00785C31"/>
    <w:rsid w:val="00796321"/>
    <w:rsid w:val="007A01B4"/>
    <w:rsid w:val="007A03BE"/>
    <w:rsid w:val="007A07E5"/>
    <w:rsid w:val="007A385D"/>
    <w:rsid w:val="007A3E79"/>
    <w:rsid w:val="007A7362"/>
    <w:rsid w:val="007B22C9"/>
    <w:rsid w:val="007B5A17"/>
    <w:rsid w:val="007B7729"/>
    <w:rsid w:val="007C66DE"/>
    <w:rsid w:val="007D0768"/>
    <w:rsid w:val="007D224F"/>
    <w:rsid w:val="007E0C8A"/>
    <w:rsid w:val="007E3816"/>
    <w:rsid w:val="007F5700"/>
    <w:rsid w:val="00802548"/>
    <w:rsid w:val="00802957"/>
    <w:rsid w:val="00812EA8"/>
    <w:rsid w:val="00814AA6"/>
    <w:rsid w:val="00816DEF"/>
    <w:rsid w:val="00823B2C"/>
    <w:rsid w:val="008267EE"/>
    <w:rsid w:val="0083050D"/>
    <w:rsid w:val="00832E9B"/>
    <w:rsid w:val="008432ED"/>
    <w:rsid w:val="00843F7D"/>
    <w:rsid w:val="008450F3"/>
    <w:rsid w:val="0086227D"/>
    <w:rsid w:val="00863FEE"/>
    <w:rsid w:val="00875220"/>
    <w:rsid w:val="0088500C"/>
    <w:rsid w:val="0089014A"/>
    <w:rsid w:val="008902CF"/>
    <w:rsid w:val="00893069"/>
    <w:rsid w:val="008966E9"/>
    <w:rsid w:val="008B4A3B"/>
    <w:rsid w:val="008B56E5"/>
    <w:rsid w:val="008B6E77"/>
    <w:rsid w:val="008C1F77"/>
    <w:rsid w:val="008D3CFE"/>
    <w:rsid w:val="008D5E6C"/>
    <w:rsid w:val="008D7F16"/>
    <w:rsid w:val="008E4534"/>
    <w:rsid w:val="008E54DB"/>
    <w:rsid w:val="008F1045"/>
    <w:rsid w:val="009018E4"/>
    <w:rsid w:val="00903BED"/>
    <w:rsid w:val="00905613"/>
    <w:rsid w:val="00905BF1"/>
    <w:rsid w:val="00913572"/>
    <w:rsid w:val="00914E81"/>
    <w:rsid w:val="009171E7"/>
    <w:rsid w:val="00917A3B"/>
    <w:rsid w:val="0092087F"/>
    <w:rsid w:val="00922D9B"/>
    <w:rsid w:val="0092377F"/>
    <w:rsid w:val="00930DF7"/>
    <w:rsid w:val="00936597"/>
    <w:rsid w:val="00936821"/>
    <w:rsid w:val="0094276A"/>
    <w:rsid w:val="00942C75"/>
    <w:rsid w:val="00946254"/>
    <w:rsid w:val="00951195"/>
    <w:rsid w:val="00952045"/>
    <w:rsid w:val="00952BA5"/>
    <w:rsid w:val="009554FB"/>
    <w:rsid w:val="00957EEC"/>
    <w:rsid w:val="00963696"/>
    <w:rsid w:val="009642E6"/>
    <w:rsid w:val="009645E2"/>
    <w:rsid w:val="00965CCC"/>
    <w:rsid w:val="00967967"/>
    <w:rsid w:val="00972BCD"/>
    <w:rsid w:val="0097304E"/>
    <w:rsid w:val="0097647D"/>
    <w:rsid w:val="00983752"/>
    <w:rsid w:val="00983EF6"/>
    <w:rsid w:val="009959F3"/>
    <w:rsid w:val="009A0727"/>
    <w:rsid w:val="009A11C1"/>
    <w:rsid w:val="009A27F7"/>
    <w:rsid w:val="009A292D"/>
    <w:rsid w:val="009A4CAF"/>
    <w:rsid w:val="009A69B5"/>
    <w:rsid w:val="009B0D73"/>
    <w:rsid w:val="009B3167"/>
    <w:rsid w:val="009C020C"/>
    <w:rsid w:val="009C5D67"/>
    <w:rsid w:val="009C7A2D"/>
    <w:rsid w:val="009C7CE4"/>
    <w:rsid w:val="009E4A3B"/>
    <w:rsid w:val="009F0653"/>
    <w:rsid w:val="009F7FCB"/>
    <w:rsid w:val="00A00B17"/>
    <w:rsid w:val="00A1042E"/>
    <w:rsid w:val="00A1794D"/>
    <w:rsid w:val="00A207E1"/>
    <w:rsid w:val="00A220C6"/>
    <w:rsid w:val="00A2358C"/>
    <w:rsid w:val="00A2663A"/>
    <w:rsid w:val="00A31C85"/>
    <w:rsid w:val="00A32C2E"/>
    <w:rsid w:val="00A33A9E"/>
    <w:rsid w:val="00A36162"/>
    <w:rsid w:val="00A53ED7"/>
    <w:rsid w:val="00A623DF"/>
    <w:rsid w:val="00A72E16"/>
    <w:rsid w:val="00A76003"/>
    <w:rsid w:val="00A76D78"/>
    <w:rsid w:val="00A83140"/>
    <w:rsid w:val="00A843DA"/>
    <w:rsid w:val="00A84830"/>
    <w:rsid w:val="00A84D61"/>
    <w:rsid w:val="00AA2334"/>
    <w:rsid w:val="00AA4DC4"/>
    <w:rsid w:val="00AB05C6"/>
    <w:rsid w:val="00AB3BE1"/>
    <w:rsid w:val="00AB66D7"/>
    <w:rsid w:val="00AC2E96"/>
    <w:rsid w:val="00AC32C6"/>
    <w:rsid w:val="00AC5219"/>
    <w:rsid w:val="00AD139A"/>
    <w:rsid w:val="00AD7BA1"/>
    <w:rsid w:val="00AE2CAD"/>
    <w:rsid w:val="00AF5247"/>
    <w:rsid w:val="00AF78C6"/>
    <w:rsid w:val="00AF7CB4"/>
    <w:rsid w:val="00B00961"/>
    <w:rsid w:val="00B12237"/>
    <w:rsid w:val="00B12F3C"/>
    <w:rsid w:val="00B23B41"/>
    <w:rsid w:val="00B24FF7"/>
    <w:rsid w:val="00B2543C"/>
    <w:rsid w:val="00B26192"/>
    <w:rsid w:val="00B40A66"/>
    <w:rsid w:val="00B50CF4"/>
    <w:rsid w:val="00B57B39"/>
    <w:rsid w:val="00B6022C"/>
    <w:rsid w:val="00B6632A"/>
    <w:rsid w:val="00B67C18"/>
    <w:rsid w:val="00B74727"/>
    <w:rsid w:val="00B74F9C"/>
    <w:rsid w:val="00B801E0"/>
    <w:rsid w:val="00B83422"/>
    <w:rsid w:val="00B841C1"/>
    <w:rsid w:val="00B8765A"/>
    <w:rsid w:val="00B955B3"/>
    <w:rsid w:val="00BA15F6"/>
    <w:rsid w:val="00BB11A8"/>
    <w:rsid w:val="00BB2026"/>
    <w:rsid w:val="00BC0917"/>
    <w:rsid w:val="00BC3B43"/>
    <w:rsid w:val="00BC5535"/>
    <w:rsid w:val="00BD5BEC"/>
    <w:rsid w:val="00BE02A7"/>
    <w:rsid w:val="00BE2788"/>
    <w:rsid w:val="00BE6F4C"/>
    <w:rsid w:val="00BE7E70"/>
    <w:rsid w:val="00BF5C6F"/>
    <w:rsid w:val="00BF5F9C"/>
    <w:rsid w:val="00C02F99"/>
    <w:rsid w:val="00C05D8E"/>
    <w:rsid w:val="00C06B20"/>
    <w:rsid w:val="00C06CBE"/>
    <w:rsid w:val="00C123C3"/>
    <w:rsid w:val="00C126DF"/>
    <w:rsid w:val="00C15DBB"/>
    <w:rsid w:val="00C32A3D"/>
    <w:rsid w:val="00C444EA"/>
    <w:rsid w:val="00C5114A"/>
    <w:rsid w:val="00C55BB5"/>
    <w:rsid w:val="00C62132"/>
    <w:rsid w:val="00C63642"/>
    <w:rsid w:val="00C64953"/>
    <w:rsid w:val="00C745E3"/>
    <w:rsid w:val="00C75C2E"/>
    <w:rsid w:val="00C766EF"/>
    <w:rsid w:val="00C7718E"/>
    <w:rsid w:val="00C7730B"/>
    <w:rsid w:val="00C773FC"/>
    <w:rsid w:val="00C807AA"/>
    <w:rsid w:val="00C80EE6"/>
    <w:rsid w:val="00C817A7"/>
    <w:rsid w:val="00C861B2"/>
    <w:rsid w:val="00CA2A8B"/>
    <w:rsid w:val="00CA65E9"/>
    <w:rsid w:val="00CB40E8"/>
    <w:rsid w:val="00CB4339"/>
    <w:rsid w:val="00CB6A55"/>
    <w:rsid w:val="00CB6E51"/>
    <w:rsid w:val="00CC1890"/>
    <w:rsid w:val="00CC1F3E"/>
    <w:rsid w:val="00CC480B"/>
    <w:rsid w:val="00CC72C5"/>
    <w:rsid w:val="00CC7310"/>
    <w:rsid w:val="00CD19F8"/>
    <w:rsid w:val="00CD332E"/>
    <w:rsid w:val="00CD682F"/>
    <w:rsid w:val="00CE06FC"/>
    <w:rsid w:val="00CE4335"/>
    <w:rsid w:val="00CE6D9C"/>
    <w:rsid w:val="00D03331"/>
    <w:rsid w:val="00D073EA"/>
    <w:rsid w:val="00D12776"/>
    <w:rsid w:val="00D2092D"/>
    <w:rsid w:val="00D222BF"/>
    <w:rsid w:val="00D277DC"/>
    <w:rsid w:val="00D31AFE"/>
    <w:rsid w:val="00D332D6"/>
    <w:rsid w:val="00D346FC"/>
    <w:rsid w:val="00D35444"/>
    <w:rsid w:val="00D3691D"/>
    <w:rsid w:val="00D371C4"/>
    <w:rsid w:val="00D50E81"/>
    <w:rsid w:val="00D5191A"/>
    <w:rsid w:val="00D5708D"/>
    <w:rsid w:val="00D634D8"/>
    <w:rsid w:val="00D63C2D"/>
    <w:rsid w:val="00D64B3D"/>
    <w:rsid w:val="00D651FF"/>
    <w:rsid w:val="00D71DEB"/>
    <w:rsid w:val="00D749AA"/>
    <w:rsid w:val="00D80609"/>
    <w:rsid w:val="00D82BB6"/>
    <w:rsid w:val="00D83AC5"/>
    <w:rsid w:val="00D84A19"/>
    <w:rsid w:val="00D875C6"/>
    <w:rsid w:val="00DA100A"/>
    <w:rsid w:val="00DA25AD"/>
    <w:rsid w:val="00DA73E5"/>
    <w:rsid w:val="00DB0090"/>
    <w:rsid w:val="00DB0FEF"/>
    <w:rsid w:val="00DB1679"/>
    <w:rsid w:val="00DB554E"/>
    <w:rsid w:val="00DC2F1C"/>
    <w:rsid w:val="00DC2F84"/>
    <w:rsid w:val="00DC4BA2"/>
    <w:rsid w:val="00DD4C8D"/>
    <w:rsid w:val="00DD7FB4"/>
    <w:rsid w:val="00DF1C7E"/>
    <w:rsid w:val="00DF4AB0"/>
    <w:rsid w:val="00DF66EE"/>
    <w:rsid w:val="00E00371"/>
    <w:rsid w:val="00E07A31"/>
    <w:rsid w:val="00E14037"/>
    <w:rsid w:val="00E17346"/>
    <w:rsid w:val="00E23047"/>
    <w:rsid w:val="00E23270"/>
    <w:rsid w:val="00E309FD"/>
    <w:rsid w:val="00E403D4"/>
    <w:rsid w:val="00E50150"/>
    <w:rsid w:val="00E5049F"/>
    <w:rsid w:val="00E61308"/>
    <w:rsid w:val="00E61E70"/>
    <w:rsid w:val="00E67E38"/>
    <w:rsid w:val="00E76995"/>
    <w:rsid w:val="00E80E43"/>
    <w:rsid w:val="00E8311C"/>
    <w:rsid w:val="00E84923"/>
    <w:rsid w:val="00E84E5D"/>
    <w:rsid w:val="00E87A04"/>
    <w:rsid w:val="00E922B4"/>
    <w:rsid w:val="00E97970"/>
    <w:rsid w:val="00EA4003"/>
    <w:rsid w:val="00EB0151"/>
    <w:rsid w:val="00EB7ED2"/>
    <w:rsid w:val="00EC43C8"/>
    <w:rsid w:val="00ED0C1C"/>
    <w:rsid w:val="00ED457C"/>
    <w:rsid w:val="00ED7E47"/>
    <w:rsid w:val="00EE0B92"/>
    <w:rsid w:val="00EE0F0E"/>
    <w:rsid w:val="00EE3A60"/>
    <w:rsid w:val="00EE68D2"/>
    <w:rsid w:val="00EF14B7"/>
    <w:rsid w:val="00EF2C35"/>
    <w:rsid w:val="00EF44AD"/>
    <w:rsid w:val="00F014F8"/>
    <w:rsid w:val="00F113BB"/>
    <w:rsid w:val="00F13937"/>
    <w:rsid w:val="00F17267"/>
    <w:rsid w:val="00F27587"/>
    <w:rsid w:val="00F307F9"/>
    <w:rsid w:val="00F3131F"/>
    <w:rsid w:val="00F32538"/>
    <w:rsid w:val="00F34A00"/>
    <w:rsid w:val="00F34D93"/>
    <w:rsid w:val="00F5335F"/>
    <w:rsid w:val="00F62AEB"/>
    <w:rsid w:val="00F66A6D"/>
    <w:rsid w:val="00F72010"/>
    <w:rsid w:val="00F76428"/>
    <w:rsid w:val="00F77798"/>
    <w:rsid w:val="00F77B4D"/>
    <w:rsid w:val="00F801C2"/>
    <w:rsid w:val="00F820F7"/>
    <w:rsid w:val="00F83A44"/>
    <w:rsid w:val="00F85C22"/>
    <w:rsid w:val="00F86B12"/>
    <w:rsid w:val="00F87AC6"/>
    <w:rsid w:val="00F87EEB"/>
    <w:rsid w:val="00F979AC"/>
    <w:rsid w:val="00FA6353"/>
    <w:rsid w:val="00FB32DE"/>
    <w:rsid w:val="00FB370F"/>
    <w:rsid w:val="00FB7A50"/>
    <w:rsid w:val="00FC0DF5"/>
    <w:rsid w:val="00FC44B5"/>
    <w:rsid w:val="00FC6127"/>
    <w:rsid w:val="00FC7A4D"/>
    <w:rsid w:val="00FD08A0"/>
    <w:rsid w:val="00FD2E42"/>
    <w:rsid w:val="00FD4AA6"/>
    <w:rsid w:val="00FE2B9E"/>
    <w:rsid w:val="00FE6555"/>
    <w:rsid w:val="00FF51DA"/>
    <w:rsid w:val="00FF51E1"/>
    <w:rsid w:val="01EC064B"/>
    <w:rsid w:val="27C15577"/>
    <w:rsid w:val="35FE6410"/>
    <w:rsid w:val="43E32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unhideWhenUsed/>
    <w:qFormat/>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3">
    <w:name w:val="Body Text Indent"/>
    <w:basedOn w:val="1"/>
    <w:uiPriority w:val="0"/>
    <w:pPr>
      <w:widowControl/>
      <w:spacing w:before="100" w:beforeAutospacing="1" w:after="100" w:afterAutospacing="1"/>
      <w:jc w:val="left"/>
    </w:pPr>
    <w:rPr>
      <w:rFonts w:ascii="宋体" w:hAnsi="宋体" w:cs="宋体"/>
      <w:kern w:val="0"/>
      <w:sz w:val="24"/>
    </w:rPr>
  </w:style>
  <w:style w:type="paragraph" w:styleId="4">
    <w:name w:val="Body Text Indent 2"/>
    <w:basedOn w:val="1"/>
    <w:uiPriority w:val="0"/>
    <w:pPr>
      <w:widowControl/>
      <w:spacing w:before="100" w:beforeAutospacing="1" w:after="100" w:afterAutospacing="1"/>
      <w:jc w:val="left"/>
    </w:pPr>
    <w:rPr>
      <w:rFonts w:ascii="宋体" w:hAnsi="宋体" w:cs="宋体"/>
      <w:kern w:val="0"/>
      <w:sz w:val="24"/>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Strong"/>
    <w:qFormat/>
    <w:uiPriority w:val="0"/>
    <w:rPr>
      <w:b/>
      <w:bCs/>
    </w:rPr>
  </w:style>
  <w:style w:type="character" w:styleId="10">
    <w:name w:val="Hyperlink"/>
    <w:qFormat/>
    <w:uiPriority w:val="0"/>
    <w:rPr>
      <w:color w:val="0068B7"/>
      <w:u w:val="none"/>
    </w:r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141"/>
    <w:qFormat/>
    <w:uiPriority w:val="0"/>
    <w:rPr>
      <w:sz w:val="21"/>
      <w:szCs w:val="21"/>
    </w:rPr>
  </w:style>
  <w:style w:type="character" w:customStyle="1" w:styleId="14">
    <w:name w:val="ztag pre"/>
    <w:basedOn w:val="8"/>
    <w:qFormat/>
    <w:uiPriority w:val="0"/>
  </w:style>
  <w:style w:type="character" w:customStyle="1" w:styleId="15">
    <w:name w:val="已访问的超链接1"/>
    <w:qFormat/>
    <w:uiPriority w:val="0"/>
    <w:rPr>
      <w:color w:val="800080"/>
      <w:u w:val="single"/>
    </w:rPr>
  </w:style>
  <w:style w:type="paragraph" w:customStyle="1"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EE1D9E-A9C1-4331-951D-AB9FE758262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489</Words>
  <Characters>2791</Characters>
  <Lines>23</Lines>
  <Paragraphs>6</Paragraphs>
  <ScaleCrop>false</ScaleCrop>
  <LinksUpToDate>false</LinksUpToDate>
  <CharactersWithSpaces>3274</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2017-05-04T08:26:00Z</dcterms:created>
  <dc:creator>全美国际教育协会</dc:creator>
  <cp:lastModifiedBy>USIEA--Xi'an</cp:lastModifiedBy>
  <cp:lastPrinted>2011-12-16T08:54:00Z</cp:lastPrinted>
  <dcterms:modified xsi:type="dcterms:W3CDTF">2017-08-31T08:06:41Z</dcterms:modified>
  <dc:title>加州大学河滨分校短期访学项目</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